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Pr>
    </w:p>
    <w:p>
      <w:pPr>
        <w:pStyle w:val="28"/>
      </w:pPr>
    </w:p>
    <w:p>
      <w:pPr>
        <w:ind w:right="105"/>
        <w:jc w:val="right"/>
        <w:rPr>
          <w:rFonts w:hint="eastAsia"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267970</wp:posOffset>
                </wp:positionV>
                <wp:extent cx="720090" cy="0"/>
                <wp:effectExtent l="0" t="95250" r="4445" b="95250"/>
                <wp:wrapNone/>
                <wp:docPr id="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0.8pt;margin-top:21.1pt;height:0pt;width:56.7pt;z-index:251661312;mso-width-relative:page;mso-height-relative:page;" filled="f" stroked="t" coordsize="21600,21600" o:gfxdata="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fW+c1QAAAAgB&#10;AAAPAAAAAAAAAAEAIAAAACIAAABkcnMvZG93bnJldi54bWxQSwECFAAUAAAACACHTuJAPTQUi+UB&#10;AACrAwAADgAAAAAAAAABACAAAAAkAQAAZHJzL2Uyb0RvYy54bWxQSwUGAAAAAAYABgBZAQAAewUA&#10;AAAA&#10;">
                <v:fill on="f" focussize="0,0"/>
                <v:stroke weight="15pt" color="#4B69B5" joinstyle="round"/>
                <v:imagedata o:title=""/>
                <o:lock v:ext="edit" aspectratio="f"/>
              </v:line>
            </w:pict>
          </mc:Fallback>
        </mc:AlternateContent>
      </w:r>
      <w:r>
        <w:rPr>
          <w:rFonts w:hint="eastAsia" w:eastAsia="黑体"/>
          <w:b/>
          <w:spacing w:val="40"/>
          <w:w w:val="66"/>
          <w:sz w:val="60"/>
          <w:szCs w:val="60"/>
        </w:rPr>
        <w:t>天津市津南区人民检察院</w:t>
      </w:r>
    </w:p>
    <w:p>
      <w:pPr>
        <w:ind w:right="105"/>
        <w:jc w:val="right"/>
        <w:rPr>
          <w:rFonts w:eastAsia="黑体"/>
          <w:b/>
          <w:spacing w:val="40"/>
          <w:w w:val="66"/>
          <w:sz w:val="60"/>
          <w:szCs w:val="60"/>
        </w:rPr>
      </w:pPr>
      <w:r>
        <w:rPr>
          <w:rFonts w:hint="eastAsia" w:eastAsia="黑体"/>
          <w:b/>
          <w:spacing w:val="40"/>
          <w:w w:val="66"/>
          <w:sz w:val="60"/>
          <w:szCs w:val="60"/>
        </w:rPr>
        <w:t>物业管理项目</w:t>
      </w: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809625</wp:posOffset>
                </wp:positionV>
                <wp:extent cx="1914525" cy="0"/>
                <wp:effectExtent l="97155" t="95250" r="10287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2.15pt;margin-top:63.75pt;height:0pt;width:150.75pt;z-index:251659264;mso-width-relative:page;mso-height-relative:page;" filled="f" stroked="t" coordsize="21600,21600" o:gfxdata="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xO691QAA&#10;AAoBAAAPAAAAAAAAAAEAIAAAACIAAABkcnMvZG93bnJldi54bWxQSwECFAAUAAAACACHTuJAwLYi&#10;aOgBAACsAwAADgAAAAAAAAABACAAAAAkAQAAZHJzL2Uyb0RvYy54bWxQSwUGAAAAAAYABgBZAQAA&#10;fgUAAAAA&#10;">
                <v:fill on="f" focussize="0,0"/>
                <v:stroke weight="15pt" color="#4B69B5" joinstyle="round"/>
                <v:imagedata o:title=""/>
                <o:lock v:ext="edit" aspectratio="f"/>
              </v:line>
            </w:pict>
          </mc:Fallback>
        </mc:AlternateContent>
      </w:r>
    </w:p>
    <w:p>
      <w:pPr>
        <w:ind w:right="105"/>
        <w:jc w:val="right"/>
        <w:rPr>
          <w:rFonts w:eastAsia="黑体"/>
          <w:b/>
          <w:spacing w:val="40"/>
          <w:w w:val="66"/>
          <w:sz w:val="60"/>
          <w:szCs w:val="60"/>
        </w:rPr>
      </w:pPr>
      <w:r>
        <w:rPr>
          <w:rFonts w:eastAsia="黑体"/>
          <w:b/>
          <w:spacing w:val="40"/>
          <w:w w:val="66"/>
          <w:sz w:val="60"/>
          <w:szCs w:val="60"/>
        </w:rPr>
        <w:t>竞争性磋商文件</w:t>
      </w:r>
    </w:p>
    <w:p>
      <w:pPr>
        <w:ind w:right="1025"/>
        <w:jc w:val="center"/>
        <w:rPr>
          <w:rFonts w:eastAsia="黑体"/>
          <w:b/>
          <w:spacing w:val="40"/>
          <w:w w:val="66"/>
          <w:sz w:val="60"/>
          <w:szCs w:val="60"/>
        </w:rPr>
      </w:pPr>
    </w:p>
    <w:p>
      <w:pPr>
        <w:jc w:val="center"/>
        <w:rPr>
          <w:rFonts w:eastAsia="黑体"/>
          <w:b/>
          <w:spacing w:val="40"/>
          <w:w w:val="66"/>
          <w:sz w:val="15"/>
          <w:szCs w:val="15"/>
        </w:rPr>
      </w:pPr>
      <w:r>
        <w:rPr>
          <w:rFonts w:eastAsia="黑体"/>
          <w:b/>
          <w:spacing w:val="40"/>
          <w:w w:val="66"/>
          <w:sz w:val="56"/>
          <w:szCs w:val="56"/>
        </w:rPr>
        <w:t xml:space="preserve">            </w:t>
      </w:r>
    </w:p>
    <w:p>
      <w:pPr>
        <w:jc w:val="center"/>
        <w:rPr>
          <w:rFonts w:eastAsia="黑体"/>
          <w:spacing w:val="40"/>
          <w:w w:val="66"/>
          <w:sz w:val="32"/>
          <w:szCs w:val="32"/>
        </w:rPr>
      </w:pPr>
      <w:r>
        <w:rPr>
          <w:rFonts w:eastAsia="黑体"/>
          <w:spacing w:val="40"/>
          <w:w w:val="66"/>
          <w:sz w:val="32"/>
          <w:szCs w:val="32"/>
        </w:rPr>
        <w:t>（项目编号：</w:t>
      </w:r>
      <w:r>
        <w:rPr>
          <w:rFonts w:hint="eastAsia" w:eastAsia="黑体"/>
          <w:spacing w:val="40"/>
          <w:w w:val="66"/>
          <w:sz w:val="32"/>
          <w:szCs w:val="32"/>
        </w:rPr>
        <w:t>TGPC-2024-D-0219</w:t>
      </w:r>
      <w:r>
        <w:rPr>
          <w:rFonts w:eastAsia="黑体"/>
          <w:spacing w:val="40"/>
          <w:w w:val="66"/>
          <w:sz w:val="32"/>
          <w:szCs w:val="32"/>
        </w:rPr>
        <w:t>）</w:t>
      </w:r>
    </w:p>
    <w:p>
      <w:pPr>
        <w:jc w:val="center"/>
        <w:rPr>
          <w:rFonts w:eastAsia="黑体"/>
          <w:spacing w:val="40"/>
          <w:w w:val="66"/>
          <w:sz w:val="32"/>
          <w:szCs w:val="32"/>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ind w:firstLine="2897" w:firstLineChars="1493"/>
        <w:rPr>
          <w:rFonts w:eastAsia="黑体"/>
          <w:spacing w:val="20"/>
          <w:w w:val="66"/>
          <w:sz w:val="44"/>
          <w:szCs w:val="44"/>
        </w:rPr>
      </w:pPr>
      <w: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pPr>
        <w:tabs>
          <w:tab w:val="left" w:pos="3281"/>
          <w:tab w:val="center" w:pos="4711"/>
        </w:tabs>
        <w:jc w:val="center"/>
        <w:rPr>
          <w:rFonts w:hint="eastAsia" w:eastAsia="仿宋_GB2312"/>
          <w:b/>
          <w:bCs/>
          <w:spacing w:val="20"/>
          <w:w w:val="66"/>
          <w:sz w:val="44"/>
          <w:szCs w:val="44"/>
          <w:lang w:eastAsia="zh-CN"/>
        </w:rPr>
      </w:pPr>
      <w:r>
        <w:rPr>
          <w:rFonts w:eastAsia="仿宋_GB2312"/>
          <w:b/>
          <w:bCs/>
          <w:kern w:val="0"/>
          <w:sz w:val="44"/>
          <w:szCs w:val="44"/>
        </w:rPr>
        <w:t>2024.</w:t>
      </w:r>
      <w:r>
        <w:rPr>
          <w:rFonts w:hint="eastAsia" w:eastAsia="仿宋_GB2312"/>
          <w:b/>
          <w:bCs/>
          <w:kern w:val="0"/>
          <w:sz w:val="44"/>
          <w:szCs w:val="44"/>
          <w:lang w:val="en-US" w:eastAsia="zh-CN"/>
        </w:rPr>
        <w:t>4</w:t>
      </w:r>
    </w:p>
    <w:p>
      <w:pPr>
        <w:tabs>
          <w:tab w:val="left" w:pos="3281"/>
          <w:tab w:val="center" w:pos="4711"/>
        </w:tabs>
        <w:jc w:val="center"/>
        <w:rPr>
          <w:rFonts w:eastAsia="仿宋_GB2312"/>
          <w:b/>
          <w:bCs/>
          <w:kern w:val="0"/>
          <w:sz w:val="44"/>
          <w:szCs w:val="44"/>
        </w:rPr>
      </w:pPr>
    </w:p>
    <w:p>
      <w:pPr>
        <w:tabs>
          <w:tab w:val="left" w:pos="3281"/>
          <w:tab w:val="center" w:pos="4711"/>
        </w:tabs>
        <w:jc w:val="center"/>
        <w:rPr>
          <w:rFonts w:eastAsia="仿宋_GB2312"/>
          <w:b/>
          <w:bCs/>
          <w:spacing w:val="20"/>
          <w:w w:val="66"/>
          <w:sz w:val="44"/>
          <w:szCs w:val="44"/>
        </w:rPr>
        <w:sectPr>
          <w:headerReference r:id="rId3" w:type="default"/>
          <w:pgSz w:w="11906" w:h="16838"/>
          <w:pgMar w:top="1440" w:right="1797" w:bottom="1440" w:left="1797" w:header="851" w:footer="992" w:gutter="0"/>
          <w:cols w:space="720" w:num="1"/>
          <w:docGrid w:type="linesAndChars" w:linePitch="285" w:charSpace="-3449"/>
        </w:sectPr>
      </w:pPr>
    </w:p>
    <w:p>
      <w:pPr>
        <w:tabs>
          <w:tab w:val="left" w:pos="3281"/>
          <w:tab w:val="center" w:pos="4711"/>
        </w:tabs>
        <w:jc w:val="center"/>
        <w:rPr>
          <w:b/>
          <w:bCs/>
          <w:spacing w:val="20"/>
          <w:w w:val="66"/>
          <w:sz w:val="36"/>
          <w:szCs w:val="32"/>
        </w:rPr>
      </w:pPr>
      <w:r>
        <w:rPr>
          <w:b/>
          <w:bCs/>
          <w:spacing w:val="20"/>
          <w:w w:val="66"/>
          <w:sz w:val="36"/>
          <w:szCs w:val="32"/>
        </w:rPr>
        <w:t>目  录</w:t>
      </w:r>
    </w:p>
    <w:p>
      <w:pPr>
        <w:tabs>
          <w:tab w:val="left" w:pos="3281"/>
          <w:tab w:val="center" w:pos="4711"/>
        </w:tabs>
        <w:spacing w:line="360" w:lineRule="auto"/>
        <w:jc w:val="center"/>
        <w:rPr>
          <w:rFonts w:eastAsia="仿宋_GB2312"/>
          <w:b/>
          <w:bCs/>
          <w:spacing w:val="20"/>
          <w:w w:val="66"/>
          <w:sz w:val="28"/>
          <w:szCs w:val="28"/>
        </w:rPr>
      </w:pPr>
    </w:p>
    <w:p>
      <w:pPr>
        <w:pStyle w:val="10"/>
        <w:rPr>
          <w:sz w:val="28"/>
          <w:szCs w:val="28"/>
        </w:rPr>
      </w:pPr>
      <w:r>
        <w:rPr>
          <w:rFonts w:hint="eastAsia"/>
          <w:sz w:val="28"/>
          <w:szCs w:val="28"/>
        </w:rPr>
        <w:t>第一部分  磋商邀请函</w:t>
      </w:r>
    </w:p>
    <w:p/>
    <w:p>
      <w:pPr>
        <w:pStyle w:val="10"/>
        <w:rPr>
          <w:sz w:val="28"/>
          <w:szCs w:val="28"/>
        </w:rPr>
      </w:pPr>
      <w:r>
        <w:rPr>
          <w:rFonts w:hint="eastAsia"/>
          <w:sz w:val="28"/>
          <w:szCs w:val="28"/>
        </w:rPr>
        <w:t>第二部分  磋商项目要求</w:t>
      </w:r>
    </w:p>
    <w:p/>
    <w:p>
      <w:pPr>
        <w:pStyle w:val="10"/>
        <w:rPr>
          <w:sz w:val="28"/>
          <w:szCs w:val="28"/>
        </w:rPr>
      </w:pPr>
      <w:r>
        <w:rPr>
          <w:rFonts w:hint="eastAsia"/>
          <w:sz w:val="28"/>
          <w:szCs w:val="28"/>
        </w:rPr>
        <w:t>第三部分  供应商须知</w:t>
      </w:r>
    </w:p>
    <w:p/>
    <w:p>
      <w:pPr>
        <w:pStyle w:val="10"/>
        <w:rPr>
          <w:sz w:val="28"/>
          <w:szCs w:val="28"/>
        </w:rPr>
      </w:pPr>
      <w:r>
        <w:rPr>
          <w:rFonts w:hint="eastAsia"/>
          <w:sz w:val="28"/>
          <w:szCs w:val="28"/>
        </w:rPr>
        <w:t>第四部分  合同草案</w:t>
      </w:r>
    </w:p>
    <w:p/>
    <w:p>
      <w:pPr>
        <w:pStyle w:val="10"/>
        <w:rPr>
          <w:sz w:val="28"/>
          <w:szCs w:val="28"/>
        </w:rPr>
      </w:pPr>
      <w:r>
        <w:rPr>
          <w:rFonts w:hint="eastAsia"/>
          <w:sz w:val="28"/>
          <w:szCs w:val="28"/>
        </w:rPr>
        <w:t>第五部分  响应文件格式</w:t>
      </w:r>
    </w:p>
    <w:p>
      <w:pPr>
        <w:tabs>
          <w:tab w:val="left" w:pos="3281"/>
          <w:tab w:val="center" w:pos="4711"/>
        </w:tabs>
        <w:spacing w:line="360" w:lineRule="auto"/>
        <w:jc w:val="center"/>
        <w:rPr>
          <w:rFonts w:eastAsia="仿宋_GB2312"/>
          <w:b/>
          <w:bCs/>
          <w:spacing w:val="20"/>
          <w:w w:val="66"/>
          <w:sz w:val="28"/>
          <w:szCs w:val="28"/>
        </w:rPr>
      </w:pPr>
    </w:p>
    <w:p>
      <w:pPr>
        <w:tabs>
          <w:tab w:val="left" w:pos="3281"/>
          <w:tab w:val="center" w:pos="4711"/>
        </w:tabs>
        <w:jc w:val="center"/>
        <w:rPr>
          <w:rFonts w:eastAsia="仿宋_GB2312"/>
          <w:b/>
          <w:bCs/>
          <w:spacing w:val="20"/>
          <w:w w:val="66"/>
          <w:sz w:val="44"/>
          <w:szCs w:val="44"/>
        </w:rPr>
      </w:pPr>
    </w:p>
    <w:p>
      <w:pPr>
        <w:tabs>
          <w:tab w:val="left" w:pos="3281"/>
          <w:tab w:val="center" w:pos="4711"/>
        </w:tabs>
        <w:jc w:val="center"/>
        <w:rPr>
          <w:rFonts w:eastAsia="仿宋_GB2312"/>
          <w:b/>
          <w:bCs/>
          <w:spacing w:val="20"/>
          <w:w w:val="66"/>
          <w:sz w:val="44"/>
          <w:szCs w:val="44"/>
        </w:rPr>
        <w:sectPr>
          <w:pgSz w:w="11906" w:h="16838"/>
          <w:pgMar w:top="1440" w:right="1797" w:bottom="1440" w:left="1797" w:header="851" w:footer="992" w:gutter="0"/>
          <w:cols w:space="720" w:num="1"/>
          <w:docGrid w:type="linesAndChars" w:linePitch="285" w:charSpace="-3449"/>
        </w:sectPr>
      </w:pPr>
    </w:p>
    <w:p>
      <w:pPr>
        <w:pStyle w:val="11"/>
        <w:rPr>
          <w:rFonts w:ascii="Times New Roman" w:hAnsi="Times New Roman"/>
        </w:rPr>
      </w:pPr>
      <w:bookmarkStart w:id="0" w:name="_Toc411426748"/>
      <w:bookmarkStart w:id="1" w:name="_Toc411426750"/>
      <w:r>
        <w:rPr>
          <w:rFonts w:ascii="Times New Roman" w:hAnsi="Times New Roman"/>
        </w:rPr>
        <w:t>第一部分  磋商邀请函</w:t>
      </w:r>
      <w:bookmarkEnd w:id="0"/>
    </w:p>
    <w:p>
      <w:pPr>
        <w:pStyle w:val="28"/>
        <w:spacing w:line="360" w:lineRule="auto"/>
        <w:ind w:firstLine="480" w:firstLineChars="200"/>
        <w:jc w:val="both"/>
        <w:rPr>
          <w:rFonts w:ascii="Times New Roman" w:hAnsi="Times New Roman" w:eastAsia="宋体" w:cs="Times New Roman"/>
          <w:color w:val="auto"/>
          <w:kern w:val="2"/>
        </w:rPr>
      </w:pPr>
      <w:bookmarkStart w:id="2" w:name="_Toc411426749"/>
      <w:r>
        <w:rPr>
          <w:rFonts w:ascii="Times New Roman" w:hAnsi="Times New Roman" w:eastAsia="宋体" w:cs="Times New Roman"/>
          <w:color w:val="auto"/>
          <w:kern w:val="2"/>
        </w:rPr>
        <w:t>受</w:t>
      </w:r>
      <w:r>
        <w:rPr>
          <w:rFonts w:hint="eastAsia" w:ascii="Times New Roman" w:hAnsi="Times New Roman" w:eastAsia="宋体" w:cs="Times New Roman"/>
          <w:color w:val="auto"/>
          <w:kern w:val="2"/>
        </w:rPr>
        <w:t>天津市津南区人民检察院</w:t>
      </w:r>
      <w:r>
        <w:rPr>
          <w:rFonts w:ascii="Times New Roman" w:hAnsi="Times New Roman" w:eastAsia="宋体" w:cs="Times New Roman"/>
          <w:color w:val="auto"/>
          <w:kern w:val="2"/>
        </w:rPr>
        <w:t>委托，</w:t>
      </w:r>
      <w:r>
        <w:rPr>
          <w:rFonts w:hint="eastAsia" w:ascii="Times New Roman" w:hAnsi="Times New Roman" w:eastAsia="宋体" w:cs="Times New Roman"/>
          <w:color w:val="auto"/>
          <w:kern w:val="2"/>
        </w:rPr>
        <w:t>天津市政府采购中心</w:t>
      </w:r>
      <w:r>
        <w:rPr>
          <w:rFonts w:ascii="Times New Roman" w:hAnsi="Times New Roman" w:eastAsia="宋体" w:cs="Times New Roman"/>
          <w:color w:val="auto"/>
          <w:kern w:val="2"/>
        </w:rPr>
        <w:t>将以竞争性磋商方式</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对</w:t>
      </w:r>
      <w:r>
        <w:rPr>
          <w:rFonts w:hint="eastAsia" w:ascii="Times New Roman" w:hAnsi="Times New Roman" w:eastAsia="宋体" w:cs="Times New Roman"/>
          <w:color w:val="auto"/>
          <w:kern w:val="2"/>
        </w:rPr>
        <w:t>天津市津南区人民检察院物业管理项目</w:t>
      </w:r>
      <w:r>
        <w:rPr>
          <w:rFonts w:ascii="Times New Roman" w:hAnsi="Times New Roman" w:eastAsia="宋体" w:cs="Times New Roman"/>
          <w:color w:val="auto"/>
          <w:kern w:val="2"/>
        </w:rPr>
        <w:t>实施政府采购。现欢迎合格的供应商参加磋商。</w:t>
      </w:r>
    </w:p>
    <w:p>
      <w:pPr>
        <w:pStyle w:val="28"/>
        <w:spacing w:line="360" w:lineRule="auto"/>
        <w:ind w:firstLine="480"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响应文件，只接受加盖投标人电子签章的PDF格式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天津公共资源电子签章客户端正确读取签章信息为准）。</w:t>
      </w:r>
    </w:p>
    <w:p>
      <w:pPr>
        <w:pStyle w:val="28"/>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一、项目名称和编号</w:t>
      </w:r>
    </w:p>
    <w:p>
      <w:pPr>
        <w:pStyle w:val="28"/>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（一）项目名称：</w:t>
      </w:r>
      <w:r>
        <w:rPr>
          <w:rFonts w:hint="eastAsia" w:ascii="Times New Roman" w:hAnsi="Times New Roman" w:eastAsia="宋体" w:cs="Times New Roman"/>
          <w:color w:val="auto"/>
          <w:kern w:val="2"/>
        </w:rPr>
        <w:t>天津市津南区人民检察院物业管理项目</w:t>
      </w:r>
    </w:p>
    <w:p>
      <w:pPr>
        <w:pStyle w:val="28"/>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（二）项目编号：</w:t>
      </w:r>
      <w:r>
        <w:rPr>
          <w:rFonts w:hint="eastAsia" w:ascii="Times New Roman" w:hAnsi="Times New Roman" w:eastAsia="宋体" w:cs="Times New Roman"/>
          <w:color w:val="auto"/>
          <w:kern w:val="2"/>
        </w:rPr>
        <w:t>TGPC-2024-D-0219</w:t>
      </w:r>
    </w:p>
    <w:p>
      <w:pPr>
        <w:pStyle w:val="28"/>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二、项目内容</w:t>
      </w:r>
    </w:p>
    <w:p>
      <w:pPr>
        <w:pStyle w:val="28"/>
        <w:spacing w:line="360" w:lineRule="auto"/>
        <w:ind w:firstLine="480" w:firstLineChars="200"/>
        <w:jc w:val="both"/>
        <w:rPr>
          <w:rFonts w:hint="eastAsia" w:ascii="Times New Roman" w:hAnsi="Times New Roman" w:eastAsia="宋体" w:cs="Times New Roman"/>
          <w:color w:val="auto"/>
          <w:kern w:val="2"/>
          <w:lang w:val="en-US" w:eastAsia="zh-CN"/>
        </w:rPr>
      </w:pPr>
      <w:r>
        <w:rPr>
          <w:rFonts w:ascii="Times New Roman" w:hAnsi="Times New Roman" w:eastAsia="宋体" w:cs="Times New Roman"/>
          <w:color w:val="auto"/>
          <w:kern w:val="2"/>
        </w:rPr>
        <w:t>第一包：</w:t>
      </w:r>
      <w:r>
        <w:rPr>
          <w:rFonts w:hint="eastAsia" w:ascii="Times New Roman" w:hAnsi="Times New Roman" w:eastAsia="宋体" w:cs="Times New Roman"/>
          <w:color w:val="auto"/>
          <w:kern w:val="2"/>
          <w:lang w:val="en-US" w:eastAsia="zh-CN"/>
        </w:rPr>
        <w:t>物业管理服务1项</w:t>
      </w:r>
      <w:r>
        <w:rPr>
          <w:rFonts w:hint="eastAsia" w:ascii="Times New Roman" w:hAnsi="Times New Roman" w:eastAsia="宋体" w:cs="Times New Roman"/>
          <w:color w:val="auto"/>
          <w:kern w:val="2"/>
        </w:rPr>
        <w:t>，合同履行期限</w:t>
      </w:r>
      <w:r>
        <w:rPr>
          <w:rFonts w:hint="eastAsia" w:ascii="Times New Roman" w:hAnsi="Times New Roman" w:eastAsia="宋体" w:cs="Times New Roman"/>
          <w:color w:val="auto"/>
          <w:kern w:val="2"/>
          <w:lang w:eastAsia="zh-CN"/>
        </w:rPr>
        <w:t>：</w:t>
      </w:r>
      <w:r>
        <w:rPr>
          <w:rFonts w:hint="eastAsia" w:ascii="Times New Roman" w:hAnsi="Times New Roman" w:eastAsia="宋体" w:cs="Times New Roman"/>
          <w:color w:val="auto"/>
          <w:kern w:val="2"/>
          <w:lang w:val="en-US" w:eastAsia="zh-CN"/>
        </w:rPr>
        <w:t>1</w:t>
      </w:r>
      <w:r>
        <w:rPr>
          <w:rFonts w:hint="eastAsia" w:ascii="Times New Roman" w:hAnsi="Times New Roman" w:eastAsia="宋体" w:cs="Times New Roman"/>
          <w:color w:val="auto"/>
          <w:kern w:val="2"/>
        </w:rPr>
        <w:t>年</w:t>
      </w:r>
      <w:r>
        <w:rPr>
          <w:rFonts w:hint="eastAsia" w:ascii="Times New Roman" w:hAnsi="Times New Roman" w:eastAsia="宋体" w:cs="Times New Roman"/>
          <w:color w:val="auto"/>
          <w:kern w:val="2"/>
          <w:lang w:eastAsia="zh-CN"/>
        </w:rPr>
        <w:t>。</w:t>
      </w:r>
    </w:p>
    <w:p>
      <w:pPr>
        <w:pStyle w:val="28"/>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三、项目预算</w:t>
      </w:r>
    </w:p>
    <w:p>
      <w:pPr>
        <w:pStyle w:val="28"/>
        <w:spacing w:line="360" w:lineRule="auto"/>
        <w:ind w:firstLine="480" w:firstLineChars="200"/>
        <w:jc w:val="both"/>
        <w:rPr>
          <w:rFonts w:hint="eastAsia"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rPr>
        <w:t>1035000</w:t>
      </w:r>
      <w:r>
        <w:rPr>
          <w:rFonts w:hint="eastAsia" w:ascii="Times New Roman" w:hAnsi="Times New Roman" w:eastAsia="宋体" w:cs="Times New Roman"/>
          <w:color w:val="auto"/>
          <w:kern w:val="2"/>
          <w:lang w:val="en-US" w:eastAsia="zh-CN"/>
        </w:rPr>
        <w:t>元。</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四</w:t>
      </w:r>
      <w:r>
        <w:rPr>
          <w:rFonts w:ascii="Times New Roman" w:hAnsi="Times New Roman" w:eastAsia="宋体" w:cs="Times New Roman"/>
          <w:color w:val="auto"/>
          <w:kern w:val="2"/>
        </w:rPr>
        <w:t>、供应商资格要求（实质性要求）</w:t>
      </w:r>
    </w:p>
    <w:p>
      <w:pPr>
        <w:pStyle w:val="28"/>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w:t>
      </w:r>
      <w:r>
        <w:rPr>
          <w:rFonts w:hint="eastAsia" w:ascii="Times New Roman" w:hAnsi="Times New Roman" w:eastAsia="宋体" w:cs="Times New Roman"/>
          <w:color w:val="auto"/>
          <w:kern w:val="2"/>
        </w:rPr>
        <w:t>供应商应具备独立法人资格。</w:t>
      </w:r>
    </w:p>
    <w:p>
      <w:pPr>
        <w:pStyle w:val="28"/>
        <w:spacing w:line="360" w:lineRule="auto"/>
        <w:ind w:firstLine="480" w:firstLineChars="200"/>
        <w:jc w:val="both"/>
        <w:rPr>
          <w:rFonts w:ascii="Times New Roman" w:hAnsi="Times New Roman" w:eastAsia="宋体" w:cs="Times New Roman"/>
          <w:color w:val="auto"/>
          <w:kern w:val="2"/>
        </w:rPr>
      </w:pPr>
      <w:bookmarkStart w:id="3" w:name="OLE_LINK4"/>
      <w:r>
        <w:rPr>
          <w:rFonts w:hint="eastAsia" w:ascii="Times New Roman" w:hAnsi="Times New Roman" w:eastAsia="宋体" w:cs="Times New Roman"/>
          <w:color w:val="auto"/>
          <w:kern w:val="2"/>
        </w:rPr>
        <w:t>（二）投标人须具备《中华人民共和国政府采购法》第二十二条第一款规定的条件，提供以下材料：</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1. 营业执照副本或事业单位法人证书或民办非企业单位登记证书或社会团体法人登记证书或基金会法人登记证书扫描件或自然人的身份证明扫描件。</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2. 财务状况报告等相关材料：</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A.经第三方会计师事务所审计的2022年度或</w:t>
      </w:r>
      <w:r>
        <w:rPr>
          <w:rFonts w:ascii="Times New Roman" w:hAnsi="Times New Roman" w:eastAsia="宋体" w:cs="Times New Roman"/>
          <w:color w:val="auto"/>
          <w:kern w:val="2"/>
        </w:rPr>
        <w:t>2023</w:t>
      </w:r>
      <w:r>
        <w:rPr>
          <w:rFonts w:hint="eastAsia" w:ascii="Times New Roman" w:hAnsi="Times New Roman" w:eastAsia="宋体" w:cs="Times New Roman"/>
          <w:color w:val="auto"/>
          <w:kern w:val="2"/>
        </w:rPr>
        <w:t>年度财务报告扫描件。</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B. 具有良好的商业信誉和健全的财务会计制度的书面声明。</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注：A、B两项提供任意一项均可。</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3. 依法缴纳税收和社会保障资金的书面声明。</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提交响应文件截止日前</w:t>
      </w:r>
      <w:r>
        <w:rPr>
          <w:rFonts w:ascii="Times New Roman" w:hAnsi="Times New Roman" w:eastAsia="宋体" w:cs="Times New Roman"/>
          <w:color w:val="auto"/>
        </w:rPr>
        <w:t>3</w:t>
      </w:r>
      <w:r>
        <w:rPr>
          <w:rFonts w:hint="eastAsia" w:ascii="Times New Roman" w:hAnsi="Times New Roman" w:eastAsia="宋体" w:cs="Times New Roman"/>
          <w:color w:val="auto"/>
        </w:rPr>
        <w:t>年在经营活动中没有重大违法记录的书面声明（截至提交响应文件截止日成立不足</w:t>
      </w:r>
      <w:r>
        <w:rPr>
          <w:rFonts w:ascii="Times New Roman" w:hAnsi="Times New Roman" w:eastAsia="宋体" w:cs="Times New Roman"/>
          <w:color w:val="auto"/>
        </w:rPr>
        <w:t>3</w:t>
      </w:r>
      <w:r>
        <w:rPr>
          <w:rFonts w:hint="eastAsia" w:ascii="Times New Roman" w:hAnsi="Times New Roman" w:eastAsia="宋体" w:cs="Times New Roman"/>
          <w:color w:val="auto"/>
        </w:rPr>
        <w:t>年的供应商可提供自成立以来无重大违法记录的书面声明）。</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rPr>
        <w:t>5. 提交</w:t>
      </w:r>
      <w:r>
        <w:rPr>
          <w:rFonts w:hint="eastAsia" w:ascii="Times New Roman" w:hAnsi="Times New Roman" w:eastAsia="宋体" w:cs="Times New Roman"/>
          <w:color w:val="auto"/>
          <w:highlight w:val="none"/>
        </w:rPr>
        <w:t>具备履行合同所必需的设备和专业技术能力证明材料。</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（三）本项目不接受联合体参与磋商。</w:t>
      </w:r>
    </w:p>
    <w:p>
      <w:pPr>
        <w:pStyle w:val="28"/>
        <w:spacing w:line="360" w:lineRule="auto"/>
        <w:ind w:firstLine="480" w:firstLineChars="200"/>
        <w:rPr>
          <w:rFonts w:ascii="Times New Roman" w:hAnsi="Times New Roman" w:cs="Times New Roman" w:eastAsiaTheme="minorEastAsia"/>
          <w:color w:val="auto"/>
          <w:highlight w:val="none"/>
        </w:rPr>
      </w:pPr>
      <w:r>
        <w:rPr>
          <w:rFonts w:hint="eastAsia" w:ascii="Times New Roman" w:hAnsi="Times New Roman" w:cs="Times New Roman" w:eastAsiaTheme="minorEastAsia"/>
          <w:color w:val="auto"/>
          <w:highlight w:val="none"/>
        </w:rPr>
        <w:t>（四）本项目专门面向</w:t>
      </w:r>
      <w:r>
        <w:rPr>
          <w:rFonts w:hint="eastAsia" w:ascii="Times New Roman" w:hAnsi="Times New Roman" w:cs="Times New Roman" w:eastAsiaTheme="minorEastAsia"/>
          <w:color w:val="auto"/>
          <w:highlight w:val="none"/>
          <w:lang w:val="en-US" w:eastAsia="zh-CN"/>
        </w:rPr>
        <w:t>小型、微型</w:t>
      </w:r>
      <w:r>
        <w:rPr>
          <w:rFonts w:hint="eastAsia" w:ascii="Times New Roman" w:hAnsi="Times New Roman" w:cs="Times New Roman" w:eastAsiaTheme="minorEastAsia"/>
          <w:color w:val="auto"/>
          <w:highlight w:val="none"/>
        </w:rPr>
        <w:t>企业采购，提供《中小企业声明函》。</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w:t>
      </w:r>
      <w:r>
        <w:rPr>
          <w:rFonts w:ascii="Times New Roman" w:hAnsi="Times New Roman" w:eastAsia="宋体" w:cs="Times New Roman"/>
          <w:color w:val="auto"/>
          <w:highlight w:val="none"/>
        </w:rPr>
        <w:t>、项目需要落实的政府采购政策</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（一）</w:t>
      </w:r>
      <w:r>
        <w:rPr>
          <w:rFonts w:hint="eastAsia" w:ascii="Times New Roman" w:hAnsi="Times New Roman" w:cs="Times New Roman" w:eastAsiaTheme="minorEastAsia"/>
          <w:color w:val="auto"/>
          <w:highlight w:val="none"/>
        </w:rPr>
        <w:t>本项目专门面向</w:t>
      </w:r>
      <w:r>
        <w:rPr>
          <w:rFonts w:hint="eastAsia" w:ascii="Times New Roman" w:hAnsi="Times New Roman" w:cs="Times New Roman" w:eastAsiaTheme="minorEastAsia"/>
          <w:color w:val="auto"/>
          <w:highlight w:val="none"/>
          <w:lang w:val="en-US" w:eastAsia="zh-CN"/>
        </w:rPr>
        <w:t>小型、微型</w:t>
      </w:r>
      <w:r>
        <w:rPr>
          <w:rFonts w:hint="eastAsia" w:ascii="Times New Roman" w:hAnsi="Times New Roman" w:cs="Times New Roman" w:eastAsiaTheme="minorEastAsia"/>
          <w:color w:val="auto"/>
          <w:highlight w:val="none"/>
        </w:rPr>
        <w:t>企业采购</w:t>
      </w:r>
      <w:r>
        <w:rPr>
          <w:rFonts w:ascii="Times New Roman" w:hAnsi="Times New Roman" w:eastAsia="宋体" w:cs="Times New Roman"/>
          <w:color w:val="auto"/>
          <w:highlight w:val="none"/>
        </w:rPr>
        <w:t>。</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（二）根据财政部发布的《关于政府采购支持监狱企业发展有关问题的通知》规定，监狱企业视同小微企业。</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（三）</w:t>
      </w:r>
      <w:r>
        <w:rPr>
          <w:rFonts w:hint="eastAsia" w:ascii="Times New Roman" w:hAnsi="Times New Roman" w:eastAsia="宋体"/>
          <w:color w:val="auto"/>
        </w:rPr>
        <w:t>根据财政部、民政部、中国残疾人联合会发布的《关于促进残疾人就业政府采购政策的通知》规定，残疾人福利性单位视同小微企业。</w:t>
      </w:r>
    </w:p>
    <w:p>
      <w:pPr>
        <w:pStyle w:val="28"/>
        <w:spacing w:line="360" w:lineRule="auto"/>
        <w:ind w:firstLine="480"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28"/>
        <w:spacing w:line="360" w:lineRule="auto"/>
        <w:ind w:firstLine="480"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w:t>
      </w:r>
      <w:r>
        <w:rPr>
          <w:rFonts w:ascii="Times New Roman" w:hAnsi="Times New Roman" w:eastAsia="宋体" w:cs="Times New Roman"/>
          <w:color w:val="auto"/>
        </w:rPr>
        <w:t>、获取竞争性磋商文件时间、方式</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（一）获取竞争性磋商文件的时间：</w:t>
      </w:r>
      <w:r>
        <w:rPr>
          <w:rFonts w:ascii="Times New Roman" w:hAnsi="Times New Roman" w:eastAsia="宋体"/>
          <w:color w:val="auto"/>
        </w:rPr>
        <w:t>2024年</w:t>
      </w:r>
      <w:r>
        <w:rPr>
          <w:rFonts w:hint="eastAsia" w:ascii="Times New Roman" w:hAnsi="Times New Roman" w:eastAsia="宋体"/>
          <w:color w:val="auto"/>
          <w:lang w:val="en-US" w:eastAsia="zh-CN"/>
        </w:rPr>
        <w:t>4</w:t>
      </w:r>
      <w:r>
        <w:rPr>
          <w:rFonts w:ascii="Times New Roman" w:hAnsi="Times New Roman" w:eastAsia="宋体"/>
          <w:color w:val="auto"/>
        </w:rPr>
        <w:t>月</w:t>
      </w:r>
      <w:r>
        <w:rPr>
          <w:rFonts w:hint="eastAsia" w:ascii="Times New Roman" w:hAnsi="Times New Roman" w:eastAsia="宋体"/>
          <w:color w:val="auto"/>
          <w:lang w:val="en-US" w:eastAsia="zh-CN"/>
        </w:rPr>
        <w:t>19</w:t>
      </w:r>
      <w:r>
        <w:rPr>
          <w:rFonts w:ascii="Times New Roman" w:hAnsi="Times New Roman" w:eastAsia="宋体"/>
          <w:color w:val="auto"/>
        </w:rPr>
        <w:t>日至2024年</w:t>
      </w:r>
      <w:r>
        <w:rPr>
          <w:rFonts w:hint="eastAsia" w:ascii="Times New Roman" w:hAnsi="Times New Roman" w:eastAsia="宋体"/>
          <w:color w:val="auto"/>
          <w:lang w:val="en-US" w:eastAsia="zh-CN"/>
        </w:rPr>
        <w:t>4</w:t>
      </w:r>
      <w:r>
        <w:rPr>
          <w:rFonts w:ascii="Times New Roman" w:hAnsi="Times New Roman" w:eastAsia="宋体"/>
          <w:color w:val="auto"/>
        </w:rPr>
        <w:t>月</w:t>
      </w:r>
      <w:r>
        <w:rPr>
          <w:rFonts w:hint="eastAsia" w:ascii="Times New Roman" w:hAnsi="Times New Roman" w:eastAsia="宋体"/>
          <w:color w:val="auto"/>
          <w:lang w:val="en-US" w:eastAsia="zh-CN"/>
        </w:rPr>
        <w:t>26</w:t>
      </w:r>
      <w:r>
        <w:rPr>
          <w:rFonts w:ascii="Times New Roman" w:hAnsi="Times New Roman" w:eastAsia="宋体"/>
          <w:color w:val="auto"/>
        </w:rPr>
        <w:t>日，</w:t>
      </w:r>
      <w:r>
        <w:rPr>
          <w:rFonts w:ascii="Times New Roman" w:hAnsi="Times New Roman" w:eastAsia="宋体"/>
          <w:color w:val="auto"/>
        </w:rPr>
        <w:t>每</w:t>
      </w:r>
      <w:r>
        <w:rPr>
          <w:rFonts w:ascii="Times New Roman" w:hAnsi="Times New Roman" w:eastAsia="宋体" w:cs="Times New Roman"/>
          <w:color w:val="auto"/>
        </w:rPr>
        <w:t>日9:00至17:00（北京时间，法定节假日除外）。</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（二）获取竞争性磋商文件的方式：</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获取竞争性磋商文件网址：使用天津数字认证有限公司发出的CA数字证书（原天津市电子认证中心发出尚在有效期内的CA数字证书仍可使用）登录天津市政府采购中心网（网址：</w:t>
      </w:r>
      <w:r>
        <w:rPr>
          <w:rFonts w:hint="eastAsia" w:ascii="Times New Roman" w:hAnsi="Times New Roman" w:eastAsia="宋体" w:cs="Times New Roman"/>
        </w:rPr>
        <w:t>http://tjgpc.zwfwb.tj.gov.cn</w:t>
      </w:r>
      <w:r>
        <w:rPr>
          <w:rFonts w:hint="eastAsia" w:ascii="Times New Roman" w:hAnsi="Times New Roman" w:eastAsia="宋体" w:cs="Times New Roman"/>
          <w:color w:val="auto"/>
        </w:rPr>
        <w:t>）-”网上招投标”-“供应商登录”-“市级集采机构入口”</w:t>
      </w:r>
      <w:r>
        <w:rPr>
          <w:rFonts w:ascii="Times New Roman" w:hAnsi="Times New Roman" w:eastAsia="宋体" w:cs="Times New Roman"/>
          <w:color w:val="auto"/>
        </w:rPr>
        <w:t>下载竞争性磋商文件。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电子签章办理联系电话：022-24538059。</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三</w:t>
      </w:r>
      <w:r>
        <w:rPr>
          <w:rFonts w:ascii="Times New Roman" w:hAnsi="Times New Roman" w:eastAsia="宋体" w:cs="Times New Roman"/>
          <w:color w:val="auto"/>
        </w:rPr>
        <w:t>）</w:t>
      </w:r>
      <w:r>
        <w:rPr>
          <w:rFonts w:hint="eastAsia" w:ascii="Times New Roman" w:hAnsi="Times New Roman" w:eastAsia="宋体" w:cs="Times New Roman"/>
          <w:color w:val="auto"/>
        </w:rPr>
        <w:t>本项目不组织</w:t>
      </w:r>
      <w:r>
        <w:rPr>
          <w:rFonts w:ascii="Times New Roman" w:hAnsi="Times New Roman" w:eastAsia="宋体" w:cs="Times New Roman"/>
          <w:color w:val="auto"/>
        </w:rPr>
        <w:t>踏勘现场。</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（四）本项目不组织标前答疑会</w:t>
      </w:r>
      <w:r>
        <w:rPr>
          <w:rFonts w:ascii="Times New Roman" w:hAnsi="Times New Roman" w:eastAsia="宋体" w:cs="Times New Roman"/>
          <w:color w:val="auto"/>
        </w:rPr>
        <w:t>。</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七</w:t>
      </w:r>
      <w:r>
        <w:rPr>
          <w:rFonts w:ascii="Times New Roman" w:hAnsi="Times New Roman" w:eastAsia="宋体" w:cs="Times New Roman"/>
          <w:color w:val="auto"/>
        </w:rPr>
        <w:t>、网上应答时间</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19</w:t>
      </w:r>
      <w:r>
        <w:rPr>
          <w:rFonts w:hint="eastAsia"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日8:30</w:t>
      </w:r>
      <w:r>
        <w:rPr>
          <w:rFonts w:hint="eastAsia" w:ascii="Times New Roman" w:hAnsi="Times New Roman" w:eastAsia="宋体" w:cs="Times New Roman"/>
          <w:color w:val="auto"/>
        </w:rPr>
        <w:t>，使用天津数字认证有限公司发出的CA数字证书（原天津市电子认证中心发出尚在有效期内的CA数字证书仍可使用）登陆天津市政府采购中心网（网址：http://tjgpc.zwfwb.tj.gov.cn）-”网上招投标”-“供应商登录”-“市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八、提交电子响应文件截止时间及方式</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（一）提交电子响应文件截止时间：2024年</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日8:30</w:t>
      </w:r>
      <w:r>
        <w:rPr>
          <w:rFonts w:hint="eastAsia" w:ascii="Times New Roman" w:hAnsi="Times New Roman" w:eastAsia="宋体" w:cs="Times New Roman"/>
          <w:color w:val="auto"/>
        </w:rPr>
        <w:t>。提交电子响应文件截止时间前提交网上应答并分别上传加盖电子签章的第一、第二阶段电子响应文件（以通过天津公共资源电子签章客户端正确读取签章信息为准）方为有效响应。</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（二）提交电子响应文件方式：本项目采用网上电子投标方式，投标人须于上述规定的时间使用天津数字认证有限公司发出的CA数字证书（原天津市电子认证中心发出尚在有效期内的CA数字证书仍可使用）</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九、解密时间、方式及磋商地点</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（一）第一阶段解密时间：2024年</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日8</w:t>
      </w:r>
      <w:r>
        <w:rPr>
          <w:rFonts w:hint="eastAsia" w:ascii="Times New Roman" w:hAnsi="Times New Roman" w:eastAsia="宋体" w:cs="Times New Roman"/>
          <w:color w:val="auto"/>
        </w:rPr>
        <w:t>:30至9:30完成第一阶段解密的方为有效响应。</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（二）第二阶段解密时间：通过第一阶段磋商的供应商在磋商小组要求的时间内（一般是磋商当日）完成第二阶段解密，否则视为放弃磋商。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（三）解密方式：供应商</w:t>
      </w:r>
      <w:r>
        <w:rPr>
          <w:rFonts w:ascii="Times New Roman" w:hAnsi="Times New Roman" w:eastAsia="宋体" w:cs="Times New Roman"/>
          <w:color w:val="auto"/>
        </w:rPr>
        <w:t>须于</w:t>
      </w:r>
      <w:r>
        <w:rPr>
          <w:rFonts w:hint="eastAsia" w:ascii="Times New Roman" w:hAnsi="Times New Roman" w:eastAsia="宋体" w:cs="Times New Roman"/>
          <w:color w:val="auto"/>
        </w:rPr>
        <w:t>上述规定时间</w:t>
      </w:r>
      <w:r>
        <w:rPr>
          <w:rFonts w:ascii="Times New Roman" w:hAnsi="Times New Roman" w:eastAsia="宋体" w:cs="Times New Roman"/>
          <w:color w:val="auto"/>
        </w:rPr>
        <w:t>内使用天津数字认证有限公司发出的CA数字证书（原天津市电子认证中心发出尚在有效期内的CA数字证书仍可使用）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完成解密。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（四）磋商地点：第一阶段解密后，磋商代表人须于天津市河东区红星路79号二楼天津市政府采购中心评审现场等候磋商。</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十、采购代理机构名称、地址、联系人及联系方式</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（一）采购代理机构名称：天津市政府采购中心</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（二）采购代理机构地址：天津市河东区红星路79号二楼（邮编：300161）</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（三）联系人：</w:t>
      </w:r>
      <w:r>
        <w:rPr>
          <w:rFonts w:hint="eastAsia" w:ascii="Times New Roman" w:hAnsi="Times New Roman" w:eastAsia="宋体" w:cs="Times New Roman"/>
          <w:color w:val="auto"/>
          <w:lang w:val="en-US" w:eastAsia="zh-CN"/>
        </w:rPr>
        <w:t>傅耀、鲁志强、杨光</w:t>
      </w:r>
      <w:r>
        <w:rPr>
          <w:rFonts w:ascii="Times New Roman" w:hAnsi="Times New Roman" w:eastAsia="宋体" w:cs="Times New Roman"/>
          <w:color w:val="auto"/>
        </w:rPr>
        <w:t xml:space="preserve"> </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（四）网址：http://tjgpc.zwfwb.tj.gov.cn</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（五）对外办公时间：法定工作日9:00～12:00，14:00～17:00</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（六）咨询服务电话：</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供应商注册咨询</w:t>
      </w:r>
      <w:r>
        <w:rPr>
          <w:rFonts w:hint="eastAsia" w:ascii="Times New Roman" w:hAnsi="Times New Roman" w:eastAsia="宋体" w:cs="Times New Roman"/>
          <w:color w:val="auto"/>
        </w:rPr>
        <w:t>：</w:t>
      </w:r>
      <w:r>
        <w:rPr>
          <w:rFonts w:ascii="Times New Roman" w:hAnsi="Times New Roman" w:eastAsia="宋体" w:cs="Times New Roman"/>
          <w:color w:val="auto"/>
        </w:rPr>
        <w:t>022-24538316</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CA证书和</w:t>
      </w:r>
      <w:r>
        <w:rPr>
          <w:rFonts w:ascii="Times New Roman" w:hAnsi="Times New Roman" w:eastAsia="宋体" w:cs="Times New Roman"/>
          <w:color w:val="auto"/>
        </w:rPr>
        <w:t>电子签章办理咨询：</w:t>
      </w:r>
      <w:r>
        <w:rPr>
          <w:rFonts w:hint="eastAsia" w:ascii="Times New Roman" w:hAnsi="Times New Roman" w:eastAsia="宋体" w:cs="Times New Roman"/>
          <w:color w:val="auto"/>
        </w:rPr>
        <w:t>022-24538059</w:t>
      </w:r>
    </w:p>
    <w:p>
      <w:pPr>
        <w:pStyle w:val="28"/>
        <w:spacing w:line="360" w:lineRule="auto"/>
        <w:ind w:firstLine="480"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rPr>
        <w:t>3</w:t>
      </w:r>
      <w:r>
        <w:rPr>
          <w:rFonts w:ascii="Times New Roman" w:hAnsi="Times New Roman" w:eastAsia="宋体" w:cs="Times New Roman"/>
          <w:color w:val="auto"/>
        </w:rPr>
        <w:t>. 采购文件咨询：022-2453</w:t>
      </w:r>
      <w:r>
        <w:rPr>
          <w:rFonts w:hint="eastAsia" w:ascii="Times New Roman" w:hAnsi="Times New Roman" w:eastAsia="宋体" w:cs="Times New Roman"/>
          <w:color w:val="auto"/>
          <w:lang w:val="en-US" w:eastAsia="zh-CN"/>
        </w:rPr>
        <w:t>8318</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解密操作咨询：022-24538309</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天津市津南区人民检察院</w:t>
      </w:r>
      <w:r>
        <w:rPr>
          <w:rFonts w:ascii="Times New Roman" w:hAnsi="Times New Roman" w:eastAsia="宋体" w:cs="Times New Roman"/>
          <w:color w:val="auto"/>
        </w:rPr>
        <w:t xml:space="preserve"> </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 xml:space="preserve">天津市津南区南环路33号 </w:t>
      </w:r>
      <w:r>
        <w:rPr>
          <w:rFonts w:ascii="Times New Roman" w:hAnsi="Times New Roman" w:eastAsia="宋体" w:cs="Times New Roman"/>
          <w:color w:val="auto"/>
        </w:rPr>
        <w:t xml:space="preserve"> </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郑朝晖 </w:t>
      </w:r>
      <w:r>
        <w:rPr>
          <w:rFonts w:ascii="Times New Roman" w:hAnsi="Times New Roman" w:eastAsia="宋体" w:cs="Times New Roman"/>
          <w:color w:val="auto"/>
        </w:rPr>
        <w:t xml:space="preserve"> </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lang w:val="en-US" w:eastAsia="zh-CN"/>
        </w:rPr>
        <w:t>022-</w:t>
      </w:r>
      <w:r>
        <w:rPr>
          <w:rFonts w:hint="eastAsia" w:ascii="Times New Roman" w:hAnsi="Times New Roman" w:eastAsia="宋体" w:cs="Times New Roman"/>
          <w:color w:val="auto"/>
        </w:rPr>
        <w:t xml:space="preserve">58379045 </w:t>
      </w:r>
      <w:r>
        <w:rPr>
          <w:rFonts w:ascii="Times New Roman" w:hAnsi="Times New Roman" w:eastAsia="宋体" w:cs="Times New Roman"/>
          <w:color w:val="auto"/>
        </w:rPr>
        <w:t xml:space="preserve"> </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 联系部门：</w:t>
      </w:r>
      <w:r>
        <w:rPr>
          <w:rFonts w:hint="eastAsia" w:ascii="Times New Roman" w:hAnsi="Times New Roman" w:eastAsia="宋体" w:cs="Times New Roman"/>
          <w:color w:val="auto"/>
        </w:rPr>
        <w:t>天津市津南区人民检察院</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 联系地址：</w:t>
      </w:r>
      <w:r>
        <w:rPr>
          <w:rFonts w:hint="eastAsia" w:ascii="Times New Roman" w:hAnsi="Times New Roman" w:eastAsia="宋体" w:cs="Times New Roman"/>
          <w:color w:val="auto"/>
        </w:rPr>
        <w:t>天津市津南区南环路33号</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 联 系 人：</w:t>
      </w:r>
      <w:r>
        <w:rPr>
          <w:rFonts w:hint="eastAsia" w:ascii="Times New Roman" w:hAnsi="Times New Roman" w:eastAsia="宋体" w:cs="Times New Roman"/>
          <w:color w:val="auto"/>
        </w:rPr>
        <w:t>郑朝晖</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 联系方式：</w:t>
      </w:r>
      <w:r>
        <w:rPr>
          <w:rFonts w:hint="eastAsia" w:ascii="Times New Roman" w:hAnsi="Times New Roman" w:eastAsia="宋体" w:cs="Times New Roman"/>
          <w:color w:val="auto"/>
          <w:lang w:val="en-US" w:eastAsia="zh-CN"/>
        </w:rPr>
        <w:t>022-</w:t>
      </w:r>
      <w:r>
        <w:rPr>
          <w:rFonts w:hint="eastAsia" w:ascii="Times New Roman" w:hAnsi="Times New Roman" w:eastAsia="宋体" w:cs="Times New Roman"/>
          <w:color w:val="auto"/>
        </w:rPr>
        <w:t>58379045</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磋商</w:t>
      </w:r>
      <w:r>
        <w:rPr>
          <w:rFonts w:ascii="Times New Roman" w:hAnsi="Times New Roman" w:eastAsia="宋体" w:cs="Times New Roman"/>
          <w:color w:val="auto"/>
        </w:rPr>
        <w:t>公告的公告期限为</w:t>
      </w:r>
      <w:r>
        <w:rPr>
          <w:rFonts w:hint="eastAsia" w:ascii="Times New Roman" w:hAnsi="Times New Roman" w:eastAsia="宋体" w:cs="Times New Roman"/>
          <w:color w:val="auto"/>
        </w:rPr>
        <w:t>3</w:t>
      </w:r>
      <w:r>
        <w:rPr>
          <w:rFonts w:ascii="Times New Roman" w:hAnsi="Times New Roman" w:eastAsia="宋体" w:cs="Times New Roman"/>
          <w:color w:val="auto"/>
        </w:rPr>
        <w:t>个工作日。</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四</w:t>
      </w:r>
      <w:r>
        <w:rPr>
          <w:rFonts w:ascii="Times New Roman" w:hAnsi="Times New Roman" w:eastAsia="宋体" w:cs="Times New Roman"/>
          <w:color w:val="auto"/>
        </w:rPr>
        <w:t>、招标代理服务费</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pPr>
        <w:pStyle w:val="28"/>
        <w:spacing w:line="360" w:lineRule="auto"/>
        <w:ind w:firstLine="480" w:firstLineChars="200"/>
        <w:jc w:val="both"/>
        <w:rPr>
          <w:color w:val="auto"/>
          <w:lang w:val="zh-CN"/>
        </w:rPr>
      </w:pPr>
      <w:r>
        <w:rPr>
          <w:rFonts w:hint="eastAsia"/>
          <w:color w:val="auto"/>
          <w:lang w:val="zh-CN"/>
        </w:rPr>
        <w:t>十五、《</w:t>
      </w:r>
      <w:r>
        <w:rPr>
          <w:rFonts w:cs="Times New Roman" w:asciiTheme="minorEastAsia" w:hAnsiTheme="minorEastAsia" w:eastAsiaTheme="minorEastAsia"/>
          <w:bCs/>
        </w:rPr>
        <w:t>“政采贷”业务提示函</w:t>
      </w:r>
      <w:r>
        <w:rPr>
          <w:rFonts w:hint="eastAsia"/>
          <w:color w:val="auto"/>
          <w:lang w:val="zh-CN"/>
        </w:rPr>
        <w:t>》</w:t>
      </w:r>
      <w:r>
        <w:rPr>
          <w:rFonts w:asciiTheme="minorEastAsia" w:hAnsiTheme="minorEastAsia" w:eastAsiaTheme="minorEastAsia"/>
          <w:bCs/>
        </w:rPr>
        <w:t>和</w:t>
      </w:r>
      <w:r>
        <w:rPr>
          <w:rFonts w:hint="eastAsia" w:asciiTheme="minorEastAsia" w:hAnsiTheme="minorEastAsia" w:eastAsiaTheme="minorEastAsia"/>
          <w:bCs/>
        </w:rPr>
        <w:t>《</w:t>
      </w:r>
      <w:r>
        <w:rPr>
          <w:rFonts w:cs="Times New Roman" w:asciiTheme="minorEastAsia" w:hAnsiTheme="minorEastAsia" w:eastAsiaTheme="minorEastAsia"/>
          <w:bCs/>
        </w:rPr>
        <w:t>政府采购支持中小企业政策提示函</w:t>
      </w:r>
      <w:r>
        <w:rPr>
          <w:rFonts w:hint="eastAsia" w:asciiTheme="minorEastAsia" w:hAnsiTheme="minorEastAsia" w:eastAsiaTheme="minorEastAsia"/>
          <w:bCs/>
        </w:rPr>
        <w:t>》</w:t>
      </w:r>
    </w:p>
    <w:p>
      <w:pPr>
        <w:pStyle w:val="28"/>
        <w:spacing w:line="360" w:lineRule="auto"/>
        <w:ind w:firstLine="480" w:firstLineChars="200"/>
        <w:jc w:val="both"/>
        <w:rPr>
          <w:rFonts w:ascii="Times New Roman" w:hAnsi="Times New Roman" w:eastAsia="宋体" w:cs="Times New Roman"/>
          <w:color w:val="FF0000"/>
        </w:rPr>
      </w:pPr>
    </w:p>
    <w:p>
      <w:pPr>
        <w:pStyle w:val="28"/>
        <w:spacing w:line="360" w:lineRule="auto"/>
        <w:ind w:firstLine="480" w:firstLineChars="200"/>
        <w:jc w:val="both"/>
        <w:rPr>
          <w:rFonts w:ascii="Times New Roman" w:hAnsi="Times New Roman" w:eastAsia="宋体" w:cs="Times New Roman"/>
          <w:color w:val="FF0000"/>
        </w:rPr>
      </w:pPr>
    </w:p>
    <w:p>
      <w:pPr>
        <w:pStyle w:val="28"/>
        <w:spacing w:line="360" w:lineRule="auto"/>
        <w:ind w:firstLine="480" w:firstLineChars="200"/>
        <w:jc w:val="both"/>
        <w:rPr>
          <w:rFonts w:ascii="Times New Roman" w:hAnsi="Times New Roman" w:eastAsia="宋体" w:cs="Times New Roman"/>
          <w:color w:val="auto"/>
          <w:kern w:val="2"/>
        </w:rPr>
      </w:pPr>
    </w:p>
    <w:p>
      <w:pPr>
        <w:pStyle w:val="28"/>
        <w:spacing w:line="360" w:lineRule="auto"/>
        <w:ind w:firstLine="6480" w:firstLineChars="2700"/>
        <w:jc w:val="both"/>
        <w:rPr>
          <w:rFonts w:ascii="Times New Roman" w:hAnsi="Times New Roman" w:eastAsia="宋体" w:cs="Times New Roman"/>
          <w:color w:val="auto"/>
          <w:kern w:val="2"/>
        </w:rPr>
      </w:pPr>
      <w:r>
        <w:rPr>
          <w:rFonts w:ascii="Times New Roman" w:hAnsi="Times New Roman" w:eastAsia="宋体" w:cs="Times New Roman"/>
          <w:color w:val="auto"/>
          <w:kern w:val="2"/>
        </w:rPr>
        <w:t>2024年</w:t>
      </w:r>
      <w:r>
        <w:rPr>
          <w:rFonts w:hint="eastAsia" w:ascii="Times New Roman" w:hAnsi="Times New Roman" w:eastAsia="宋体" w:cs="Times New Roman"/>
          <w:color w:val="auto"/>
          <w:kern w:val="2"/>
          <w:lang w:val="en-US" w:eastAsia="zh-CN"/>
        </w:rPr>
        <w:t>4</w:t>
      </w:r>
      <w:r>
        <w:rPr>
          <w:rFonts w:ascii="Times New Roman" w:hAnsi="Times New Roman" w:eastAsia="宋体" w:cs="Times New Roman"/>
          <w:color w:val="auto"/>
          <w:kern w:val="2"/>
        </w:rPr>
        <w:t>月</w:t>
      </w:r>
      <w:r>
        <w:rPr>
          <w:rFonts w:hint="eastAsia" w:ascii="Times New Roman" w:hAnsi="Times New Roman" w:eastAsia="宋体" w:cs="Times New Roman"/>
          <w:color w:val="auto"/>
          <w:kern w:val="2"/>
          <w:lang w:val="en-US" w:eastAsia="zh-CN"/>
        </w:rPr>
        <w:t>19</w:t>
      </w:r>
      <w:r>
        <w:rPr>
          <w:rFonts w:ascii="Times New Roman" w:hAnsi="Times New Roman" w:eastAsia="宋体" w:cs="Times New Roman"/>
          <w:color w:val="auto"/>
          <w:kern w:val="2"/>
        </w:rPr>
        <w:t>日</w:t>
      </w:r>
    </w:p>
    <w:p>
      <w:pPr>
        <w:pStyle w:val="28"/>
        <w:spacing w:line="360" w:lineRule="auto"/>
        <w:jc w:val="both"/>
        <w:rPr>
          <w:rFonts w:ascii="Times New Roman" w:hAnsi="Times New Roman" w:eastAsia="宋体" w:cs="Times New Roman"/>
          <w:color w:val="auto"/>
          <w:kern w:val="2"/>
        </w:rPr>
      </w:pPr>
    </w:p>
    <w:p>
      <w:pPr>
        <w:widowControl/>
        <w:jc w:val="left"/>
        <w:rPr>
          <w:sz w:val="24"/>
          <w:szCs w:val="24"/>
        </w:rPr>
      </w:pPr>
      <w: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“政采贷”业务提示函</w:t>
      </w:r>
    </w:p>
    <w:p>
      <w:pPr>
        <w:spacing w:line="360" w:lineRule="auto"/>
        <w:jc w:val="center"/>
        <w:rPr>
          <w:rFonts w:eastAsia="方正小标宋简体"/>
          <w:bCs/>
          <w:kern w:val="0"/>
          <w:sz w:val="24"/>
          <w:szCs w:val="24"/>
        </w:rPr>
      </w:pPr>
    </w:p>
    <w:p>
      <w:pPr>
        <w:spacing w:line="360" w:lineRule="auto"/>
        <w:ind w:firstLine="480" w:firstLineChars="200"/>
        <w:rPr>
          <w:bCs/>
          <w:kern w:val="0"/>
          <w:sz w:val="24"/>
          <w:szCs w:val="24"/>
        </w:rPr>
      </w:pPr>
      <w:r>
        <w:rPr>
          <w:bCs/>
          <w:kern w:val="0"/>
          <w:sz w:val="24"/>
          <w:szCs w:val="24"/>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pPr>
        <w:spacing w:line="360" w:lineRule="auto"/>
        <w:ind w:firstLine="480" w:firstLineChars="200"/>
        <w:rPr>
          <w:sz w:val="24"/>
          <w:szCs w:val="24"/>
        </w:rPr>
      </w:pPr>
      <w:r>
        <w:rPr>
          <w:bCs/>
          <w:kern w:val="0"/>
          <w:sz w:val="24"/>
          <w:szCs w:val="24"/>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pPr>
        <w:spacing w:line="360" w:lineRule="auto"/>
        <w:ind w:firstLine="480" w:firstLineChars="200"/>
        <w:rPr>
          <w:sz w:val="24"/>
          <w:szCs w:val="24"/>
        </w:rPr>
      </w:pPr>
      <w:r>
        <w:rPr>
          <w:bCs/>
          <w:kern w:val="0"/>
          <w:sz w:val="24"/>
          <w:szCs w:val="24"/>
        </w:rPr>
        <w:t>【</w:t>
      </w:r>
      <w:r>
        <w:rPr>
          <w:sz w:val="24"/>
          <w:szCs w:val="24"/>
        </w:rPr>
        <w:t>特别提示</w:t>
      </w:r>
      <w:r>
        <w:rPr>
          <w:bCs/>
          <w:kern w:val="0"/>
          <w:sz w:val="24"/>
          <w:szCs w:val="24"/>
        </w:rPr>
        <w:t>】“政采贷”业务坚持“政府引导、市场运作、企业自愿、风险自担”的原则，</w:t>
      </w:r>
      <w:r>
        <w:rPr>
          <w:sz w:val="24"/>
          <w:szCs w:val="24"/>
        </w:rPr>
        <w:t>供应商自愿申请“政采贷”业务并自由选择商业银行，任何单位和个人不得干预或限制。</w:t>
      </w:r>
    </w:p>
    <w:p>
      <w:pPr>
        <w:spacing w:line="360" w:lineRule="auto"/>
        <w:jc w:val="center"/>
        <w:rPr>
          <w:rFonts w:eastAsia="方正小标宋简体"/>
          <w:spacing w:val="-10"/>
          <w:sz w:val="24"/>
          <w:szCs w:val="24"/>
        </w:rPr>
      </w:pPr>
    </w:p>
    <w:p>
      <w:pPr>
        <w:spacing w:line="360" w:lineRule="auto"/>
        <w:jc w:val="center"/>
        <w:rPr>
          <w:rFonts w:eastAsia="方正小标宋简体"/>
          <w:spacing w:val="-10"/>
          <w:sz w:val="24"/>
          <w:szCs w:val="24"/>
        </w:rPr>
      </w:pPr>
    </w:p>
    <w:p>
      <w:pPr>
        <w:widowControl/>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政府采购支持中小企业政策提示函</w:t>
      </w:r>
    </w:p>
    <w:p>
      <w:pPr>
        <w:spacing w:line="360" w:lineRule="exact"/>
        <w:ind w:firstLine="480" w:firstLineChars="200"/>
        <w:rPr>
          <w:rFonts w:eastAsiaTheme="minorEastAsia"/>
          <w:sz w:val="24"/>
          <w:szCs w:val="24"/>
        </w:rPr>
      </w:pPr>
      <w:r>
        <w:rPr>
          <w:rFonts w:hint="eastAsia" w:eastAsiaTheme="minorEastAsia"/>
          <w:sz w:val="24"/>
          <w:szCs w:val="24"/>
        </w:rPr>
        <w:t>【政策概述】促进中小企业发展是政府采购法定的政策功能。在政府采购活动中，应当通过</w:t>
      </w:r>
      <w:r>
        <w:rPr>
          <w:rFonts w:hint="eastAsia" w:eastAsiaTheme="minorEastAsia"/>
          <w:snapToGrid w:val="0"/>
          <w:sz w:val="24"/>
          <w:szCs w:val="24"/>
        </w:rPr>
        <w:t>加强采购需求管理，落实预留采购份额、价格评审优惠、优先采购等措施，提高中小企业在政府采购中的份额，支持中小企业发展。</w:t>
      </w:r>
    </w:p>
    <w:p>
      <w:pPr>
        <w:spacing w:line="360" w:lineRule="exact"/>
        <w:ind w:firstLine="480" w:firstLineChars="200"/>
        <w:rPr>
          <w:rFonts w:eastAsiaTheme="minorEastAsia"/>
          <w:sz w:val="24"/>
          <w:szCs w:val="24"/>
        </w:rPr>
      </w:pPr>
      <w:r>
        <w:rPr>
          <w:rFonts w:hint="eastAsia" w:eastAsiaTheme="minorEastAsia"/>
          <w:sz w:val="24"/>
          <w:szCs w:val="24"/>
        </w:rPr>
        <w:t>【支持对象】以下对象可享受支持政策：</w:t>
      </w:r>
      <w:r>
        <w:rPr>
          <w:rFonts w:eastAsiaTheme="minorEastAsia"/>
          <w:sz w:val="24"/>
          <w:szCs w:val="24"/>
        </w:rPr>
        <w:t>1.</w:t>
      </w:r>
      <w:r>
        <w:rPr>
          <w:rFonts w:hint="eastAsia" w:eastAsiaTheme="minorEastAsia"/>
          <w:sz w:val="24"/>
          <w:szCs w:val="24"/>
        </w:rPr>
        <w:t>在境内依法设立，依据国务院批准的中小企业划分标准确定的</w:t>
      </w:r>
      <w:r>
        <w:rPr>
          <w:rFonts w:hint="eastAsia" w:eastAsiaTheme="minorEastAsia"/>
          <w:b/>
          <w:sz w:val="24"/>
          <w:szCs w:val="24"/>
        </w:rPr>
        <w:t>中型企业、小型企业和微型企业</w:t>
      </w:r>
      <w:r>
        <w:rPr>
          <w:rFonts w:hint="eastAsia" w:eastAsiaTheme="minorEastAsia"/>
          <w:sz w:val="24"/>
          <w:szCs w:val="24"/>
        </w:rPr>
        <w:t>，但与大企业的负责人为同一人，或者与大企业存在直接控股、管理关系的除外；</w:t>
      </w:r>
      <w:r>
        <w:rPr>
          <w:rFonts w:eastAsiaTheme="minorEastAsia"/>
          <w:sz w:val="24"/>
          <w:szCs w:val="24"/>
        </w:rPr>
        <w:t>2.</w:t>
      </w:r>
      <w:r>
        <w:rPr>
          <w:rFonts w:hint="eastAsia" w:eastAsiaTheme="minorEastAsia"/>
          <w:sz w:val="24"/>
          <w:szCs w:val="24"/>
        </w:rPr>
        <w:t>符合中小企业划分标准的</w:t>
      </w:r>
      <w:r>
        <w:rPr>
          <w:rFonts w:hint="eastAsia" w:eastAsiaTheme="minorEastAsia"/>
          <w:b/>
          <w:sz w:val="24"/>
          <w:szCs w:val="24"/>
        </w:rPr>
        <w:t>个体工商户</w:t>
      </w:r>
      <w:r>
        <w:rPr>
          <w:rFonts w:hint="eastAsia" w:eastAsiaTheme="minorEastAsia"/>
          <w:sz w:val="24"/>
          <w:szCs w:val="24"/>
        </w:rPr>
        <w:t>。</w:t>
      </w:r>
    </w:p>
    <w:p>
      <w:pPr>
        <w:spacing w:line="360" w:lineRule="exact"/>
        <w:ind w:firstLine="480" w:firstLineChars="200"/>
        <w:rPr>
          <w:rFonts w:eastAsiaTheme="minorEastAsia"/>
          <w:snapToGrid w:val="0"/>
          <w:sz w:val="24"/>
          <w:szCs w:val="24"/>
        </w:rPr>
      </w:pPr>
      <w:r>
        <w:rPr>
          <w:rFonts w:hint="eastAsia" w:eastAsiaTheme="minorEastAsia"/>
          <w:snapToGrid w:val="0"/>
          <w:sz w:val="24"/>
          <w:szCs w:val="24"/>
        </w:rPr>
        <w:t>【支持情形】在政府采购活动中，供应商提供的货物、工程或者服务符合下列情形的，享受支持政策：</w:t>
      </w:r>
    </w:p>
    <w:p>
      <w:pPr>
        <w:spacing w:line="360" w:lineRule="exact"/>
        <w:ind w:firstLine="480" w:firstLineChars="200"/>
        <w:rPr>
          <w:rFonts w:eastAsiaTheme="minorEastAsia"/>
          <w:snapToGrid w:val="0"/>
          <w:sz w:val="24"/>
          <w:szCs w:val="24"/>
        </w:rPr>
      </w:pPr>
      <w:r>
        <w:rPr>
          <w:rFonts w:hint="eastAsia" w:eastAsiaTheme="minorEastAsia"/>
          <w:snapToGrid w:val="0"/>
          <w:sz w:val="24"/>
          <w:szCs w:val="24"/>
        </w:rPr>
        <w:t>（一）在货物采购项目中，货物由中小企业制造，即货物由</w:t>
      </w:r>
      <w:r>
        <w:rPr>
          <w:rFonts w:hint="eastAsia" w:eastAsiaTheme="minorEastAsia"/>
          <w:b/>
          <w:snapToGrid w:val="0"/>
          <w:sz w:val="24"/>
          <w:szCs w:val="24"/>
        </w:rPr>
        <w:t>中小企业生产且使用该中小企业商号或者注册商标</w:t>
      </w:r>
      <w:r>
        <w:rPr>
          <w:rFonts w:hint="eastAsia" w:eastAsiaTheme="minorEastAsia"/>
          <w:snapToGrid w:val="0"/>
          <w:sz w:val="24"/>
          <w:szCs w:val="24"/>
        </w:rPr>
        <w:t>；</w:t>
      </w:r>
    </w:p>
    <w:p>
      <w:pPr>
        <w:spacing w:line="360" w:lineRule="exact"/>
        <w:ind w:firstLine="480" w:firstLineChars="200"/>
        <w:rPr>
          <w:rFonts w:eastAsiaTheme="minorEastAsia"/>
          <w:snapToGrid w:val="0"/>
          <w:sz w:val="24"/>
          <w:szCs w:val="24"/>
        </w:rPr>
      </w:pPr>
      <w:r>
        <w:rPr>
          <w:rFonts w:hint="eastAsia" w:eastAsiaTheme="minorEastAsia"/>
          <w:snapToGrid w:val="0"/>
          <w:sz w:val="24"/>
          <w:szCs w:val="24"/>
        </w:rPr>
        <w:t>（二）在工程采购项目中，工程由中小企业承建，即工程施工单位为中小企业；</w:t>
      </w:r>
    </w:p>
    <w:p>
      <w:pPr>
        <w:spacing w:line="360" w:lineRule="exact"/>
        <w:ind w:firstLine="480" w:firstLineChars="200"/>
        <w:rPr>
          <w:rFonts w:eastAsiaTheme="minorEastAsia"/>
          <w:snapToGrid w:val="0"/>
          <w:sz w:val="24"/>
          <w:szCs w:val="24"/>
        </w:rPr>
      </w:pPr>
      <w:r>
        <w:rPr>
          <w:rFonts w:hint="eastAsia" w:eastAsiaTheme="minorEastAsia"/>
          <w:snapToGrid w:val="0"/>
          <w:sz w:val="24"/>
          <w:szCs w:val="24"/>
        </w:rPr>
        <w:t>（三）在服务采购项目中，服务由中小企业承接，即提供服务的人员为中小企业依照《中华人民共和国劳动合同法》</w:t>
      </w:r>
      <w:r>
        <w:rPr>
          <w:rFonts w:hint="eastAsia" w:eastAsiaTheme="minorEastAsia"/>
          <w:b/>
          <w:snapToGrid w:val="0"/>
          <w:sz w:val="24"/>
          <w:szCs w:val="24"/>
        </w:rPr>
        <w:t>订立劳动合同</w:t>
      </w:r>
      <w:r>
        <w:rPr>
          <w:rFonts w:hint="eastAsia" w:eastAsiaTheme="minorEastAsia"/>
          <w:snapToGrid w:val="0"/>
          <w:sz w:val="24"/>
          <w:szCs w:val="24"/>
        </w:rPr>
        <w:t>的从业人员。</w:t>
      </w:r>
    </w:p>
    <w:p>
      <w:pPr>
        <w:spacing w:line="360" w:lineRule="exact"/>
        <w:ind w:firstLine="480" w:firstLineChars="200"/>
        <w:rPr>
          <w:rFonts w:eastAsiaTheme="minorEastAsia"/>
          <w:sz w:val="24"/>
          <w:szCs w:val="24"/>
        </w:rPr>
      </w:pPr>
      <w:r>
        <w:rPr>
          <w:rFonts w:hint="eastAsia" w:eastAsiaTheme="minorEastAsia"/>
          <w:snapToGrid w:val="0"/>
          <w:sz w:val="24"/>
          <w:szCs w:val="24"/>
        </w:rPr>
        <w:t>以联合体形式参加政府采购活动，联合体各方</w:t>
      </w:r>
      <w:r>
        <w:rPr>
          <w:rFonts w:hint="eastAsia" w:eastAsiaTheme="minorEastAsia"/>
          <w:b/>
          <w:snapToGrid w:val="0"/>
          <w:sz w:val="24"/>
          <w:szCs w:val="24"/>
        </w:rPr>
        <w:t>均为</w:t>
      </w:r>
      <w:r>
        <w:rPr>
          <w:rFonts w:hint="eastAsia" w:eastAsiaTheme="minorEastAsia"/>
          <w:snapToGrid w:val="0"/>
          <w:sz w:val="24"/>
          <w:szCs w:val="24"/>
        </w:rPr>
        <w:t>中小企业的，联合体视同中小企业。其中，联合体各方</w:t>
      </w:r>
      <w:r>
        <w:rPr>
          <w:rFonts w:hint="eastAsia" w:eastAsiaTheme="minorEastAsia"/>
          <w:b/>
          <w:snapToGrid w:val="0"/>
          <w:sz w:val="24"/>
          <w:szCs w:val="24"/>
        </w:rPr>
        <w:t>均为</w:t>
      </w:r>
      <w:r>
        <w:rPr>
          <w:rFonts w:hint="eastAsia" w:eastAsiaTheme="minorEastAsia"/>
          <w:snapToGrid w:val="0"/>
          <w:sz w:val="24"/>
          <w:szCs w:val="24"/>
        </w:rPr>
        <w:t>小微企业的，联合体视同小微企业。</w:t>
      </w:r>
    </w:p>
    <w:p>
      <w:pPr>
        <w:spacing w:line="360" w:lineRule="exact"/>
        <w:ind w:firstLine="480" w:firstLineChars="200"/>
        <w:rPr>
          <w:rFonts w:eastAsiaTheme="minorEastAsia"/>
          <w:color w:val="000000"/>
          <w:sz w:val="24"/>
          <w:szCs w:val="24"/>
        </w:rPr>
      </w:pPr>
      <w:r>
        <w:rPr>
          <w:rFonts w:hint="eastAsia" w:eastAsiaTheme="minorEastAsia"/>
          <w:color w:val="000000"/>
          <w:sz w:val="24"/>
          <w:szCs w:val="24"/>
        </w:rPr>
        <w:t>【注意事项】</w:t>
      </w:r>
    </w:p>
    <w:p>
      <w:pPr>
        <w:spacing w:line="360" w:lineRule="exact"/>
        <w:ind w:firstLine="480" w:firstLineChars="200"/>
        <w:rPr>
          <w:rFonts w:eastAsiaTheme="minorEastAsia"/>
          <w:color w:val="000000"/>
          <w:sz w:val="24"/>
          <w:szCs w:val="24"/>
        </w:rPr>
      </w:pPr>
      <w:r>
        <w:rPr>
          <w:rFonts w:eastAsiaTheme="minorEastAsia"/>
          <w:color w:val="000000"/>
          <w:sz w:val="24"/>
          <w:szCs w:val="24"/>
        </w:rPr>
        <w:t>1.</w:t>
      </w:r>
      <w:r>
        <w:rPr>
          <w:rFonts w:hint="eastAsia" w:eastAsiaTheme="minor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pPr>
        <w:spacing w:line="360" w:lineRule="exact"/>
        <w:ind w:firstLine="480" w:firstLineChars="200"/>
        <w:rPr>
          <w:rFonts w:eastAsiaTheme="minorEastAsia"/>
          <w:color w:val="000000"/>
          <w:sz w:val="24"/>
          <w:szCs w:val="24"/>
        </w:rPr>
      </w:pPr>
      <w:r>
        <w:rPr>
          <w:rFonts w:eastAsiaTheme="minorEastAsia"/>
          <w:color w:val="000000"/>
          <w:sz w:val="24"/>
          <w:szCs w:val="24"/>
        </w:rPr>
        <w:t>2.</w:t>
      </w:r>
      <w:r>
        <w:rPr>
          <w:rFonts w:hint="eastAsia" w:eastAsiaTheme="minorEastAsia"/>
          <w:color w:val="000000"/>
          <w:sz w:val="24"/>
          <w:szCs w:val="24"/>
        </w:rPr>
        <w:t>中小企业应当对声明函的内容的真实性负责。声明内容如有不实，则构成提供虚假材料谋取中标、成交的情形，需承担相应的法律责任。</w:t>
      </w:r>
    </w:p>
    <w:p>
      <w:pPr>
        <w:spacing w:line="360" w:lineRule="exact"/>
        <w:ind w:firstLine="480" w:firstLineChars="200"/>
        <w:rPr>
          <w:rFonts w:eastAsiaTheme="minorEastAsia"/>
          <w:color w:val="000000"/>
          <w:sz w:val="24"/>
          <w:szCs w:val="24"/>
        </w:rPr>
      </w:pPr>
      <w:r>
        <w:rPr>
          <w:rFonts w:eastAsiaTheme="minorEastAsia"/>
          <w:color w:val="000000"/>
          <w:sz w:val="24"/>
          <w:szCs w:val="24"/>
        </w:rPr>
        <w:t>3.</w:t>
      </w:r>
      <w:r>
        <w:rPr>
          <w:rFonts w:hint="eastAsia" w:eastAsiaTheme="minor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pPr>
        <w:spacing w:line="360" w:lineRule="exact"/>
        <w:ind w:firstLine="480" w:firstLineChars="200"/>
        <w:rPr>
          <w:rFonts w:eastAsiaTheme="minorEastAsia"/>
          <w:color w:val="000000"/>
          <w:sz w:val="24"/>
          <w:szCs w:val="24"/>
        </w:rPr>
      </w:pPr>
      <w:r>
        <w:rPr>
          <w:rFonts w:hint="eastAsia" w:eastAsiaTheme="minorEastAsia"/>
          <w:color w:val="000000"/>
          <w:sz w:val="24"/>
          <w:szCs w:val="24"/>
        </w:rPr>
        <w:t>【政策目录】</w:t>
      </w:r>
    </w:p>
    <w:p>
      <w:pPr>
        <w:spacing w:line="360" w:lineRule="exact"/>
        <w:ind w:firstLine="480" w:firstLineChars="200"/>
        <w:rPr>
          <w:rFonts w:eastAsiaTheme="minorEastAsia"/>
          <w:color w:val="000000"/>
          <w:sz w:val="24"/>
          <w:szCs w:val="24"/>
        </w:rPr>
      </w:pPr>
      <w:r>
        <w:rPr>
          <w:rFonts w:eastAsiaTheme="minorEastAsia"/>
          <w:color w:val="000000"/>
          <w:sz w:val="24"/>
          <w:szCs w:val="24"/>
        </w:rPr>
        <w:t>1.</w:t>
      </w:r>
      <w:r>
        <w:rPr>
          <w:rFonts w:hint="eastAsia" w:eastAsiaTheme="minorEastAsia"/>
          <w:color w:val="000000"/>
          <w:sz w:val="24"/>
          <w:szCs w:val="24"/>
        </w:rPr>
        <w:t>《中华人民共和国政府采购法》第九条</w:t>
      </w:r>
    </w:p>
    <w:p>
      <w:pPr>
        <w:spacing w:line="360" w:lineRule="exact"/>
        <w:ind w:firstLine="480" w:firstLineChars="200"/>
        <w:rPr>
          <w:rFonts w:eastAsiaTheme="minorEastAsia"/>
          <w:color w:val="000000"/>
          <w:sz w:val="24"/>
          <w:szCs w:val="24"/>
        </w:rPr>
      </w:pPr>
      <w:r>
        <w:rPr>
          <w:rFonts w:eastAsiaTheme="minorEastAsia"/>
          <w:color w:val="000000"/>
          <w:sz w:val="24"/>
          <w:szCs w:val="24"/>
        </w:rPr>
        <w:t>2.</w:t>
      </w:r>
      <w:r>
        <w:rPr>
          <w:rFonts w:hint="eastAsia" w:eastAsiaTheme="minorEastAsia"/>
          <w:color w:val="000000"/>
          <w:sz w:val="24"/>
          <w:szCs w:val="24"/>
        </w:rPr>
        <w:t>《中华人民共和国政府采购法实施条例》第六条</w:t>
      </w:r>
    </w:p>
    <w:p>
      <w:pPr>
        <w:spacing w:line="360" w:lineRule="exact"/>
        <w:ind w:firstLine="480" w:firstLineChars="20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hint="eastAsia" w:eastAsiaTheme="minorEastAsia"/>
          <w:color w:val="000000"/>
          <w:sz w:val="24"/>
          <w:szCs w:val="24"/>
        </w:rPr>
        <w:t>财政部</w:t>
      </w:r>
      <w:r>
        <w:rPr>
          <w:rFonts w:eastAsiaTheme="minorEastAsia"/>
          <w:color w:val="000000"/>
          <w:sz w:val="24"/>
          <w:szCs w:val="24"/>
        </w:rPr>
        <w:t xml:space="preserve"> </w:t>
      </w:r>
      <w:r>
        <w:rPr>
          <w:rFonts w:hint="eastAsia" w:eastAsiaTheme="minor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hint="eastAsia" w:eastAsiaTheme="minorEastAsia"/>
          <w:color w:val="000000"/>
          <w:sz w:val="24"/>
          <w:szCs w:val="24"/>
        </w:rPr>
        <w:t>〕</w:t>
      </w:r>
      <w:r>
        <w:rPr>
          <w:rFonts w:eastAsiaTheme="minorEastAsia"/>
          <w:color w:val="000000"/>
          <w:sz w:val="24"/>
          <w:szCs w:val="24"/>
        </w:rPr>
        <w:t>46</w:t>
      </w:r>
      <w:r>
        <w:rPr>
          <w:rFonts w:hint="eastAsia" w:eastAsiaTheme="minorEastAsia"/>
          <w:color w:val="000000"/>
          <w:sz w:val="24"/>
          <w:szCs w:val="24"/>
        </w:rPr>
        <w:t>号）</w:t>
      </w:r>
    </w:p>
    <w:p>
      <w:pPr>
        <w:spacing w:line="360" w:lineRule="exact"/>
        <w:ind w:firstLine="480" w:firstLineChars="20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hint="eastAsia" w:eastAsiaTheme="minorEastAsia"/>
          <w:color w:val="000000"/>
          <w:sz w:val="24"/>
          <w:szCs w:val="24"/>
        </w:rPr>
        <w:t>财政部关于进一步加大政府采购支持中小企业力度的通知（财库〔</w:t>
      </w:r>
      <w:r>
        <w:rPr>
          <w:rFonts w:eastAsiaTheme="minorEastAsia"/>
          <w:color w:val="000000"/>
          <w:sz w:val="24"/>
          <w:szCs w:val="24"/>
        </w:rPr>
        <w:t>2022</w:t>
      </w:r>
      <w:r>
        <w:rPr>
          <w:rFonts w:hint="eastAsia" w:eastAsiaTheme="minorEastAsia"/>
          <w:color w:val="000000"/>
          <w:sz w:val="24"/>
          <w:szCs w:val="24"/>
        </w:rPr>
        <w:t>〕</w:t>
      </w:r>
      <w:r>
        <w:rPr>
          <w:rFonts w:eastAsiaTheme="minorEastAsia"/>
          <w:color w:val="000000"/>
          <w:sz w:val="24"/>
          <w:szCs w:val="24"/>
        </w:rPr>
        <w:t>19</w:t>
      </w:r>
      <w:r>
        <w:rPr>
          <w:rFonts w:hint="eastAsia" w:eastAsiaTheme="minorEastAsia"/>
          <w:color w:val="000000"/>
          <w:sz w:val="24"/>
          <w:szCs w:val="24"/>
        </w:rPr>
        <w:t>号）</w:t>
      </w:r>
    </w:p>
    <w:p>
      <w:pPr>
        <w:spacing w:line="360" w:lineRule="exact"/>
        <w:ind w:firstLine="480" w:firstLineChars="200"/>
        <w:rPr>
          <w:rFonts w:eastAsiaTheme="minorEastAsia"/>
          <w:color w:val="000000"/>
          <w:sz w:val="24"/>
          <w:szCs w:val="24"/>
        </w:rPr>
      </w:pPr>
      <w:r>
        <w:rPr>
          <w:rFonts w:eastAsiaTheme="minorEastAsia"/>
          <w:color w:val="000000"/>
          <w:sz w:val="24"/>
          <w:szCs w:val="24"/>
        </w:rPr>
        <w:t>5.</w:t>
      </w:r>
      <w:r>
        <w:rPr>
          <w:rFonts w:hint="eastAsia" w:eastAsiaTheme="minorEastAsia"/>
          <w:color w:val="000000"/>
          <w:sz w:val="24"/>
          <w:szCs w:val="24"/>
        </w:rPr>
        <w:t>天津市财政局</w:t>
      </w:r>
      <w:r>
        <w:rPr>
          <w:rFonts w:eastAsiaTheme="minorEastAsia"/>
          <w:color w:val="000000"/>
          <w:sz w:val="24"/>
          <w:szCs w:val="24"/>
        </w:rPr>
        <w:t xml:space="preserve"> </w:t>
      </w:r>
      <w:r>
        <w:rPr>
          <w:rFonts w:hint="eastAsia" w:eastAsiaTheme="minorEastAsia"/>
          <w:color w:val="000000"/>
          <w:sz w:val="24"/>
          <w:szCs w:val="24"/>
        </w:rPr>
        <w:t>天津市工业和信息化局关于贯彻落实《政府采购促进中小企业发展管理办法》的通知（津财采〔</w:t>
      </w:r>
      <w:r>
        <w:rPr>
          <w:rFonts w:eastAsiaTheme="minorEastAsia"/>
          <w:color w:val="000000"/>
          <w:sz w:val="24"/>
          <w:szCs w:val="24"/>
        </w:rPr>
        <w:t>2021</w:t>
      </w:r>
      <w:r>
        <w:rPr>
          <w:rFonts w:hint="eastAsia" w:eastAsiaTheme="minorEastAsia"/>
          <w:color w:val="000000"/>
          <w:sz w:val="24"/>
          <w:szCs w:val="24"/>
        </w:rPr>
        <w:t>〕</w:t>
      </w:r>
      <w:r>
        <w:rPr>
          <w:rFonts w:eastAsiaTheme="minorEastAsia"/>
          <w:color w:val="000000"/>
          <w:sz w:val="24"/>
          <w:szCs w:val="24"/>
        </w:rPr>
        <w:t>12</w:t>
      </w:r>
      <w:r>
        <w:rPr>
          <w:rFonts w:hint="eastAsia" w:eastAsiaTheme="minorEastAsia"/>
          <w:color w:val="000000"/>
          <w:sz w:val="24"/>
          <w:szCs w:val="24"/>
        </w:rPr>
        <w:t>号）</w:t>
      </w:r>
    </w:p>
    <w:p>
      <w:pPr>
        <w:spacing w:line="360" w:lineRule="exact"/>
        <w:ind w:firstLine="448" w:firstLineChars="200"/>
        <w:rPr>
          <w:b/>
          <w:bCs/>
          <w:spacing w:val="-8"/>
          <w:kern w:val="28"/>
          <w:sz w:val="32"/>
          <w:szCs w:val="32"/>
        </w:rPr>
      </w:pPr>
      <w:r>
        <w:rPr>
          <w:rFonts w:eastAsiaTheme="minorEastAsia"/>
          <w:spacing w:val="-8"/>
          <w:sz w:val="24"/>
        </w:rPr>
        <w:t>6.</w:t>
      </w:r>
      <w:r>
        <w:rPr>
          <w:rFonts w:hint="eastAsia" w:eastAsiaTheme="minorEastAsia"/>
          <w:spacing w:val="-8"/>
          <w:sz w:val="24"/>
        </w:rPr>
        <w:t>市财政局</w:t>
      </w:r>
      <w:r>
        <w:rPr>
          <w:rFonts w:eastAsiaTheme="minorEastAsia"/>
          <w:spacing w:val="-8"/>
          <w:sz w:val="24"/>
        </w:rPr>
        <w:t xml:space="preserve"> </w:t>
      </w:r>
      <w:r>
        <w:rPr>
          <w:rFonts w:hint="eastAsia" w:eastAsiaTheme="minorEastAsia"/>
          <w:spacing w:val="-8"/>
          <w:sz w:val="24"/>
        </w:rPr>
        <w:t>市发展改革委</w:t>
      </w:r>
      <w:r>
        <w:rPr>
          <w:rFonts w:eastAsiaTheme="minorEastAsia"/>
          <w:spacing w:val="-8"/>
          <w:sz w:val="24"/>
        </w:rPr>
        <w:t xml:space="preserve"> </w:t>
      </w:r>
      <w:r>
        <w:rPr>
          <w:rFonts w:hint="eastAsia" w:eastAsiaTheme="minorEastAsia"/>
          <w:spacing w:val="-8"/>
          <w:sz w:val="24"/>
        </w:rPr>
        <w:t>市住房城乡建设委</w:t>
      </w:r>
      <w:r>
        <w:rPr>
          <w:rFonts w:eastAsiaTheme="minorEastAsia"/>
          <w:spacing w:val="-8"/>
          <w:sz w:val="24"/>
        </w:rPr>
        <w:t xml:space="preserve"> </w:t>
      </w:r>
      <w:r>
        <w:rPr>
          <w:rFonts w:hint="eastAsia" w:eastAsiaTheme="minorEastAsia"/>
          <w:spacing w:val="-8"/>
          <w:sz w:val="24"/>
        </w:rPr>
        <w:t>市交通运输委</w:t>
      </w:r>
      <w:r>
        <w:rPr>
          <w:rFonts w:eastAsiaTheme="minorEastAsia"/>
          <w:spacing w:val="-8"/>
          <w:sz w:val="24"/>
        </w:rPr>
        <w:t xml:space="preserve"> </w:t>
      </w:r>
      <w:r>
        <w:rPr>
          <w:rFonts w:hint="eastAsia" w:eastAsiaTheme="minorEastAsia"/>
          <w:spacing w:val="-8"/>
          <w:sz w:val="24"/>
        </w:rPr>
        <w:t>市水务局</w:t>
      </w:r>
      <w:r>
        <w:rPr>
          <w:rFonts w:eastAsiaTheme="minorEastAsia"/>
          <w:spacing w:val="-8"/>
          <w:sz w:val="24"/>
        </w:rPr>
        <w:t xml:space="preserve"> </w:t>
      </w:r>
      <w:r>
        <w:rPr>
          <w:rFonts w:hint="eastAsia" w:eastAsiaTheme="minorEastAsia"/>
          <w:spacing w:val="-8"/>
          <w:sz w:val="24"/>
        </w:rPr>
        <w:t>市政务服务办关于进一步贯彻落实政府采购支持中小企业政策的通知（津财采〔</w:t>
      </w:r>
      <w:r>
        <w:rPr>
          <w:rFonts w:eastAsiaTheme="minorEastAsia"/>
          <w:spacing w:val="-8"/>
          <w:sz w:val="24"/>
        </w:rPr>
        <w:t>2022</w:t>
      </w:r>
      <w:r>
        <w:rPr>
          <w:rFonts w:hint="eastAsia" w:eastAsiaTheme="minorEastAsia"/>
          <w:spacing w:val="-8"/>
          <w:sz w:val="24"/>
        </w:rPr>
        <w:t>〕</w:t>
      </w:r>
      <w:r>
        <w:rPr>
          <w:rFonts w:eastAsiaTheme="minorEastAsia"/>
          <w:spacing w:val="-8"/>
          <w:sz w:val="24"/>
        </w:rPr>
        <w:t>11</w:t>
      </w:r>
      <w:r>
        <w:rPr>
          <w:rFonts w:hint="eastAsia" w:eastAsiaTheme="minorEastAsia"/>
          <w:spacing w:val="-8"/>
          <w:sz w:val="24"/>
        </w:rPr>
        <w:t>号）</w:t>
      </w:r>
    </w:p>
    <w:p>
      <w:pPr>
        <w:pStyle w:val="28"/>
        <w:spacing w:line="360" w:lineRule="auto"/>
        <w:ind w:firstLine="5520" w:firstLineChars="2300"/>
        <w:jc w:val="center"/>
        <w:rPr>
          <w:rFonts w:ascii="Times New Roman" w:hAnsi="Times New Roman" w:eastAsia="宋体" w:cs="Times New Roman"/>
          <w:color w:val="auto"/>
          <w:kern w:val="2"/>
        </w:rPr>
        <w:sectPr>
          <w:headerReference r:id="rId4" w:type="default"/>
          <w:footerReference r:id="rId5" w:type="default"/>
          <w:pgSz w:w="11907" w:h="16840"/>
          <w:pgMar w:top="1440" w:right="1797" w:bottom="1440" w:left="1797" w:header="720" w:footer="720" w:gutter="0"/>
          <w:pgNumType w:start="1"/>
          <w:cols w:space="720" w:num="1"/>
          <w:docGrid w:linePitch="312" w:charSpace="0"/>
        </w:sectPr>
      </w:pPr>
    </w:p>
    <w:p>
      <w:pPr>
        <w:pStyle w:val="11"/>
        <w:rPr>
          <w:rFonts w:ascii="Times New Roman" w:hAnsi="Times New Roman"/>
        </w:rPr>
      </w:pPr>
      <w:r>
        <w:rPr>
          <w:rFonts w:ascii="Times New Roman" w:hAnsi="Times New Roman"/>
        </w:rPr>
        <w:t>第二部分  磋商项目要求</w:t>
      </w:r>
      <w:bookmarkEnd w:id="2"/>
    </w:p>
    <w:p>
      <w:pPr>
        <w:tabs>
          <w:tab w:val="left" w:pos="210"/>
        </w:tabs>
        <w:autoSpaceDE w:val="0"/>
        <w:autoSpaceDN w:val="0"/>
        <w:adjustRightInd w:val="0"/>
        <w:spacing w:line="360" w:lineRule="auto"/>
        <w:ind w:firstLine="480" w:firstLineChars="200"/>
        <w:outlineLvl w:val="0"/>
        <w:rPr>
          <w:color w:val="000000"/>
          <w:sz w:val="24"/>
          <w:szCs w:val="24"/>
        </w:rPr>
      </w:pPr>
      <w:r>
        <w:rPr>
          <w:color w:val="000000"/>
          <w:sz w:val="24"/>
          <w:szCs w:val="24"/>
        </w:rPr>
        <w:t>一、</w:t>
      </w:r>
      <w:r>
        <w:rPr>
          <w:rFonts w:hint="eastAsia"/>
          <w:sz w:val="24"/>
          <w:szCs w:val="24"/>
        </w:rPr>
        <w:t>商务要求</w:t>
      </w:r>
    </w:p>
    <w:p>
      <w:pPr>
        <w:autoSpaceDE w:val="0"/>
        <w:autoSpaceDN w:val="0"/>
        <w:adjustRightInd w:val="0"/>
        <w:spacing w:line="360" w:lineRule="auto"/>
        <w:ind w:firstLine="480" w:firstLineChars="200"/>
        <w:rPr>
          <w:color w:val="auto"/>
          <w:sz w:val="24"/>
          <w:highlight w:val="none"/>
        </w:rPr>
      </w:pPr>
      <w:r>
        <w:rPr>
          <w:rFonts w:hint="eastAsia"/>
          <w:color w:val="auto"/>
          <w:sz w:val="24"/>
          <w:szCs w:val="24"/>
          <w:highlight w:val="none"/>
        </w:rPr>
        <w:t>（一）报价</w:t>
      </w:r>
      <w:r>
        <w:rPr>
          <w:rFonts w:hint="eastAsia"/>
          <w:color w:val="auto"/>
          <w:sz w:val="24"/>
          <w:highlight w:val="none"/>
        </w:rPr>
        <w:t>要求</w:t>
      </w:r>
    </w:p>
    <w:p>
      <w:pPr>
        <w:spacing w:line="360" w:lineRule="auto"/>
        <w:ind w:firstLine="480" w:firstLineChars="200"/>
        <w:rPr>
          <w:color w:val="auto"/>
          <w:sz w:val="24"/>
          <w:highlight w:val="none"/>
        </w:rPr>
      </w:pPr>
      <w:r>
        <w:rPr>
          <w:color w:val="auto"/>
          <w:sz w:val="24"/>
          <w:highlight w:val="none"/>
        </w:rPr>
        <w:t>1. 投标报价以人民币填列。</w:t>
      </w:r>
    </w:p>
    <w:p>
      <w:pPr>
        <w:spacing w:line="360" w:lineRule="auto"/>
        <w:ind w:firstLine="480" w:firstLineChars="200"/>
        <w:rPr>
          <w:color w:val="auto"/>
          <w:sz w:val="24"/>
          <w:highlight w:val="none"/>
        </w:rPr>
      </w:pPr>
      <w:r>
        <w:rPr>
          <w:color w:val="auto"/>
          <w:sz w:val="24"/>
          <w:highlight w:val="none"/>
        </w:rPr>
        <w:t>2. 投标人的报价应包括：人员工资、福利、社险</w:t>
      </w:r>
      <w:r>
        <w:rPr>
          <w:rFonts w:hint="eastAsia"/>
          <w:color w:val="auto"/>
          <w:sz w:val="24"/>
          <w:highlight w:val="none"/>
        </w:rPr>
        <w:t>、住房公积金</w:t>
      </w:r>
      <w:r>
        <w:rPr>
          <w:color w:val="auto"/>
          <w:sz w:val="24"/>
          <w:highlight w:val="none"/>
        </w:rPr>
        <w:t>等人工费用、服装费、</w:t>
      </w:r>
      <w:r>
        <w:rPr>
          <w:rFonts w:hint="eastAsia"/>
          <w:color w:val="auto"/>
          <w:sz w:val="24"/>
          <w:highlight w:val="none"/>
        </w:rPr>
        <w:t>工具耗材费用、</w:t>
      </w:r>
      <w:r>
        <w:rPr>
          <w:color w:val="auto"/>
          <w:sz w:val="24"/>
          <w:highlight w:val="none"/>
        </w:rPr>
        <w:t>办公费、企业利润及税金等</w:t>
      </w:r>
      <w:r>
        <w:rPr>
          <w:rFonts w:hint="eastAsia"/>
          <w:color w:val="auto"/>
          <w:sz w:val="24"/>
          <w:highlight w:val="none"/>
        </w:rPr>
        <w:t>为完成磋商文件规定的一切工作所需的全部费用</w:t>
      </w:r>
      <w:r>
        <w:rPr>
          <w:color w:val="auto"/>
          <w:sz w:val="24"/>
          <w:highlight w:val="none"/>
        </w:rPr>
        <w:t>。</w:t>
      </w:r>
    </w:p>
    <w:p>
      <w:pPr>
        <w:spacing w:line="360" w:lineRule="auto"/>
        <w:ind w:firstLine="480" w:firstLineChars="200"/>
        <w:rPr>
          <w:color w:val="auto"/>
          <w:kern w:val="0"/>
          <w:sz w:val="24"/>
          <w:szCs w:val="24"/>
          <w:highlight w:val="none"/>
        </w:rPr>
      </w:pPr>
      <w:r>
        <w:rPr>
          <w:rFonts w:hint="eastAsia"/>
          <w:color w:val="auto"/>
          <w:kern w:val="0"/>
          <w:sz w:val="24"/>
          <w:szCs w:val="24"/>
          <w:highlight w:val="none"/>
        </w:rPr>
        <w:t>3. 投标报价在不超采购预算的前提下，其合理性由磋商小组在评分中予以考虑。</w:t>
      </w:r>
    </w:p>
    <w:p>
      <w:pPr>
        <w:spacing w:line="360" w:lineRule="auto"/>
        <w:ind w:firstLine="480" w:firstLineChars="200"/>
        <w:rPr>
          <w:color w:val="auto"/>
          <w:kern w:val="0"/>
          <w:sz w:val="24"/>
          <w:szCs w:val="24"/>
          <w:highlight w:val="none"/>
        </w:rPr>
      </w:pPr>
      <w:r>
        <w:rPr>
          <w:rFonts w:hint="eastAsia"/>
          <w:color w:val="auto"/>
          <w:kern w:val="0"/>
          <w:sz w:val="24"/>
          <w:szCs w:val="24"/>
          <w:highlight w:val="none"/>
        </w:rPr>
        <w:t xml:space="preserve">4. </w:t>
      </w:r>
      <w:r>
        <w:rPr>
          <w:color w:val="auto"/>
          <w:sz w:val="24"/>
          <w:highlight w:val="none"/>
        </w:rPr>
        <w:t>验收相关费用由投标人负责。</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（二）时间、地点要求：</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1. 服务期：</w:t>
      </w:r>
      <w:r>
        <w:rPr>
          <w:rFonts w:hint="eastAsia" w:ascii="Times New Roman" w:hAnsi="Times New Roman" w:eastAsia="宋体" w:cs="Times New Roman"/>
          <w:color w:val="auto"/>
          <w:kern w:val="2"/>
          <w:highlight w:val="none"/>
        </w:rPr>
        <w:t>合同规定的服务起始之日起</w:t>
      </w:r>
      <w:r>
        <w:rPr>
          <w:rFonts w:hint="eastAsia" w:ascii="Times New Roman" w:hAnsi="Times New Roman" w:eastAsia="宋体" w:cs="Times New Roman"/>
          <w:color w:val="auto"/>
          <w:kern w:val="2"/>
          <w:highlight w:val="none"/>
          <w:lang w:val="en-US" w:eastAsia="zh-CN"/>
        </w:rPr>
        <w:t>1</w:t>
      </w:r>
      <w:r>
        <w:rPr>
          <w:rFonts w:ascii="Times New Roman" w:hAnsi="Times New Roman" w:eastAsia="宋体" w:cs="Times New Roman"/>
          <w:color w:val="auto"/>
          <w:kern w:val="2"/>
          <w:highlight w:val="none"/>
        </w:rPr>
        <w:t>年的服务期</w:t>
      </w:r>
      <w:r>
        <w:rPr>
          <w:rFonts w:hint="eastAsia" w:ascii="Times New Roman" w:hAnsi="Times New Roman" w:eastAsia="宋体" w:cs="Times New Roman"/>
          <w:color w:val="auto"/>
          <w:kern w:val="2"/>
          <w:highlight w:val="none"/>
        </w:rPr>
        <w:t>，签订合同之日起7日内服务人员进场</w:t>
      </w:r>
      <w:r>
        <w:rPr>
          <w:rFonts w:ascii="Times New Roman" w:hAnsi="Times New Roman" w:eastAsia="宋体" w:cs="Times New Roman"/>
          <w:color w:val="auto"/>
          <w:kern w:val="2"/>
          <w:highlight w:val="none"/>
        </w:rPr>
        <w:t>（特殊情况以合同为准）。</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 xml:space="preserve">2. </w:t>
      </w:r>
      <w:r>
        <w:rPr>
          <w:rFonts w:hint="eastAsia" w:ascii="Times New Roman" w:hAnsi="Times New Roman" w:eastAsia="宋体" w:cs="Times New Roman"/>
          <w:color w:val="auto"/>
          <w:kern w:val="2"/>
          <w:highlight w:val="none"/>
        </w:rPr>
        <w:t>服务</w:t>
      </w:r>
      <w:r>
        <w:rPr>
          <w:rFonts w:ascii="Times New Roman" w:hAnsi="Times New Roman" w:eastAsia="宋体" w:cs="Times New Roman"/>
          <w:color w:val="auto"/>
          <w:kern w:val="2"/>
          <w:highlight w:val="none"/>
        </w:rPr>
        <w:t>地点：</w:t>
      </w:r>
      <w:r>
        <w:rPr>
          <w:rFonts w:hint="eastAsia" w:ascii="Times New Roman" w:hAnsi="Times New Roman" w:eastAsia="宋体" w:cs="Times New Roman"/>
          <w:color w:val="auto"/>
          <w:kern w:val="2"/>
          <w:highlight w:val="none"/>
          <w:lang w:val="en-US" w:eastAsia="zh-CN"/>
        </w:rPr>
        <w:t>详见项目需求书</w:t>
      </w:r>
      <w:r>
        <w:rPr>
          <w:rFonts w:ascii="Times New Roman" w:hAnsi="Times New Roman" w:eastAsia="宋体" w:cs="Times New Roman"/>
          <w:color w:val="auto"/>
          <w:kern w:val="2"/>
          <w:highlight w:val="none"/>
        </w:rPr>
        <w:t>（特殊情况以合同为准）。</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（三）供应商须整包进行磋商，不得拆包分项磋商。</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（四）磋商有效期：本项目磋商有效期为60天。</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（五）付款方式</w:t>
      </w:r>
    </w:p>
    <w:p>
      <w:pPr>
        <w:spacing w:line="360" w:lineRule="auto"/>
        <w:ind w:firstLine="540" w:firstLineChars="225"/>
        <w:rPr>
          <w:color w:val="auto"/>
          <w:sz w:val="24"/>
          <w:szCs w:val="24"/>
          <w:highlight w:val="none"/>
        </w:rPr>
      </w:pPr>
      <w:r>
        <w:rPr>
          <w:color w:val="auto"/>
          <w:sz w:val="24"/>
          <w:szCs w:val="24"/>
          <w:highlight w:val="none"/>
        </w:rPr>
        <w:t>按月付款，</w:t>
      </w:r>
      <w:r>
        <w:rPr>
          <w:rFonts w:hint="eastAsia"/>
          <w:color w:val="auto"/>
          <w:sz w:val="24"/>
          <w:szCs w:val="24"/>
          <w:highlight w:val="none"/>
        </w:rPr>
        <w:t>经考核后，</w:t>
      </w:r>
      <w:r>
        <w:rPr>
          <w:color w:val="auto"/>
          <w:sz w:val="24"/>
          <w:szCs w:val="24"/>
          <w:highlight w:val="none"/>
        </w:rPr>
        <w:t>每月15日前支付上一月服务费（特殊情况以合同为准）。</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（六）磋商保证金及履约保证金：本项目不收取磋商保证金及履约保证金。</w:t>
      </w:r>
    </w:p>
    <w:p>
      <w:pPr>
        <w:autoSpaceDE w:val="0"/>
        <w:autoSpaceDN w:val="0"/>
        <w:adjustRightInd w:val="0"/>
        <w:spacing w:line="360" w:lineRule="auto"/>
        <w:ind w:firstLine="480" w:firstLineChars="200"/>
        <w:rPr>
          <w:bCs/>
          <w:color w:val="auto"/>
          <w:sz w:val="24"/>
          <w:highlight w:val="none"/>
        </w:rPr>
      </w:pPr>
      <w:r>
        <w:rPr>
          <w:rFonts w:hint="eastAsia"/>
          <w:bCs/>
          <w:color w:val="auto"/>
          <w:sz w:val="24"/>
          <w:highlight w:val="none"/>
        </w:rPr>
        <w:t>二</w:t>
      </w:r>
      <w:r>
        <w:rPr>
          <w:bCs/>
          <w:color w:val="auto"/>
          <w:sz w:val="24"/>
          <w:highlight w:val="none"/>
        </w:rPr>
        <w:t>、技术要求</w:t>
      </w:r>
    </w:p>
    <w:p>
      <w:pPr>
        <w:autoSpaceDE w:val="0"/>
        <w:autoSpaceDN w:val="0"/>
        <w:adjustRightInd w:val="0"/>
        <w:spacing w:line="360" w:lineRule="auto"/>
        <w:ind w:firstLine="480" w:firstLineChars="200"/>
        <w:rPr>
          <w:color w:val="000000"/>
          <w:sz w:val="24"/>
        </w:rPr>
      </w:pPr>
      <w:r>
        <w:rPr>
          <w:color w:val="000000"/>
          <w:sz w:val="24"/>
        </w:rPr>
        <w:t>（一）具体需求详见本部分项目需求书。</w:t>
      </w:r>
    </w:p>
    <w:p>
      <w:pPr>
        <w:spacing w:line="360" w:lineRule="auto"/>
        <w:ind w:firstLine="480" w:firstLineChars="200"/>
        <w:outlineLvl w:val="0"/>
        <w:rPr>
          <w:sz w:val="24"/>
        </w:rPr>
      </w:pPr>
      <w:r>
        <w:rPr>
          <w:rFonts w:hint="eastAsia"/>
          <w:sz w:val="24"/>
        </w:rPr>
        <w:t>★</w:t>
      </w:r>
      <w:r>
        <w:rPr>
          <w:sz w:val="24"/>
        </w:rPr>
        <w:t>（</w:t>
      </w:r>
      <w:r>
        <w:rPr>
          <w:rFonts w:hint="eastAsia"/>
          <w:sz w:val="24"/>
        </w:rPr>
        <w:t>二</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p>
      <w:pPr>
        <w:autoSpaceDE w:val="0"/>
        <w:autoSpaceDN w:val="0"/>
        <w:adjustRightInd w:val="0"/>
        <w:spacing w:line="360" w:lineRule="auto"/>
        <w:ind w:firstLine="480" w:firstLineChars="200"/>
        <w:rPr>
          <w:color w:val="000000"/>
          <w:sz w:val="24"/>
        </w:rPr>
      </w:pPr>
      <w:r>
        <w:rPr>
          <w:rFonts w:hint="eastAsia"/>
          <w:color w:val="000000"/>
          <w:sz w:val="24"/>
        </w:rPr>
        <w:t>★</w:t>
      </w:r>
      <w:r>
        <w:rPr>
          <w:color w:val="000000"/>
          <w:sz w:val="24"/>
        </w:rPr>
        <w:t>（</w:t>
      </w:r>
      <w:r>
        <w:rPr>
          <w:rFonts w:hint="eastAsia"/>
          <w:color w:val="000000"/>
          <w:sz w:val="24"/>
        </w:rPr>
        <w:t>三</w:t>
      </w:r>
      <w:r>
        <w:rPr>
          <w:color w:val="000000"/>
          <w:sz w:val="24"/>
        </w:rPr>
        <w:t>）</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pPr>
        <w:autoSpaceDE w:val="0"/>
        <w:autoSpaceDN w:val="0"/>
        <w:adjustRightInd w:val="0"/>
        <w:spacing w:line="360" w:lineRule="auto"/>
        <w:ind w:firstLine="480" w:firstLineChars="200"/>
        <w:rPr>
          <w:color w:val="000000"/>
          <w:sz w:val="24"/>
        </w:rPr>
      </w:pPr>
      <w:r>
        <w:rPr>
          <w:rFonts w:hint="eastAsia"/>
          <w:color w:val="000000"/>
          <w:sz w:val="24"/>
        </w:rPr>
        <w:t>★</w:t>
      </w:r>
      <w:r>
        <w:rPr>
          <w:color w:val="000000"/>
          <w:sz w:val="24"/>
        </w:rPr>
        <w:t>（</w:t>
      </w:r>
      <w:r>
        <w:rPr>
          <w:rFonts w:hint="eastAsia"/>
          <w:color w:val="000000"/>
          <w:sz w:val="24"/>
        </w:rPr>
        <w:t>四</w:t>
      </w:r>
      <w:r>
        <w:rPr>
          <w:color w:val="000000"/>
          <w:sz w:val="24"/>
        </w:rPr>
        <w:t>）</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pPr>
        <w:autoSpaceDE w:val="0"/>
        <w:autoSpaceDN w:val="0"/>
        <w:adjustRightInd w:val="0"/>
        <w:spacing w:line="360" w:lineRule="auto"/>
        <w:ind w:firstLine="480" w:firstLineChars="200"/>
        <w:rPr>
          <w:bCs/>
          <w:sz w:val="24"/>
        </w:rPr>
      </w:pPr>
      <w:r>
        <w:rPr>
          <w:rFonts w:hint="eastAsia"/>
          <w:bCs/>
          <w:sz w:val="24"/>
        </w:rPr>
        <w:t>三、评审因素及评标标准</w:t>
      </w:r>
    </w:p>
    <w:tbl>
      <w:tblPr>
        <w:tblStyle w:val="16"/>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第一部分 价格（</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0分）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价格</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（1）报价超过采购预算的，响应无效，未超过采购预算的报价按以下公式进行计算。</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（2）价格得分=（评标基准价/报价）×</w:t>
            </w:r>
            <w:r>
              <w:rPr>
                <w:rFonts w:hint="eastAsia" w:ascii="宋体" w:hAnsi="宋体" w:cs="宋体"/>
                <w:kern w:val="0"/>
                <w:sz w:val="24"/>
                <w:szCs w:val="24"/>
                <w:lang w:val="en-US" w:eastAsia="zh-CN"/>
              </w:rPr>
              <w:t>1</w:t>
            </w:r>
            <w:r>
              <w:rPr>
                <w:rFonts w:hint="eastAsia" w:ascii="宋体" w:hAnsi="宋体" w:eastAsia="宋体" w:cs="宋体"/>
                <w:kern w:val="0"/>
                <w:sz w:val="24"/>
                <w:szCs w:val="24"/>
              </w:rPr>
              <w:t>0</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注：满足磋商文件要求且报价最低的报价为评标基准价。</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第二部分 客观分（</w:t>
            </w:r>
            <w:r>
              <w:rPr>
                <w:rFonts w:hint="eastAsia" w:ascii="宋体" w:hAnsi="宋体" w:cs="宋体"/>
                <w:color w:val="000000"/>
                <w:kern w:val="0"/>
                <w:sz w:val="24"/>
                <w:szCs w:val="24"/>
                <w:lang w:val="en-US" w:eastAsia="zh-CN"/>
              </w:rPr>
              <w:t>6</w:t>
            </w:r>
            <w:r>
              <w:rPr>
                <w:rFonts w:hint="eastAsia" w:ascii="宋体" w:hAnsi="宋体" w:eastAsia="宋体" w:cs="宋体"/>
                <w:color w:val="000000"/>
                <w:kern w:val="0"/>
                <w:sz w:val="24"/>
                <w:szCs w:val="24"/>
              </w:rPr>
              <w:t>0分）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投标人业绩</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完全按照以下要求提供投标人曾实施的非住宅物业管理服务业绩，提供的证明材料均不得遮挡涂黑，否则不予认定加分。</w:t>
            </w:r>
          </w:p>
          <w:p>
            <w:pPr>
              <w:widowControl/>
              <w:adjustRightInd w:val="0"/>
              <w:snapToGrid w:val="0"/>
              <w:spacing w:line="360" w:lineRule="auto"/>
              <w:rPr>
                <w:rFonts w:hint="eastAsia" w:ascii="宋体" w:hAnsi="宋体" w:eastAsia="宋体" w:cs="宋体"/>
                <w:kern w:val="0"/>
                <w:sz w:val="24"/>
                <w:szCs w:val="24"/>
                <w:lang w:eastAsia="zh-CN"/>
              </w:rPr>
            </w:pPr>
            <w:r>
              <w:rPr>
                <w:rFonts w:hint="eastAsia" w:ascii="宋体" w:hAnsi="宋体" w:eastAsia="宋体" w:cs="宋体"/>
                <w:kern w:val="0"/>
                <w:sz w:val="24"/>
                <w:szCs w:val="24"/>
              </w:rPr>
              <w:t>A. 合同原件扫描件。包括买卖双方名称及盖章、物业服务期限（合同服务起始日期为2021年1月1日或以后，且已经履行至少1年的时间）、物业服务内容</w:t>
            </w:r>
            <w:r>
              <w:rPr>
                <w:rFonts w:hint="eastAsia" w:ascii="宋体" w:hAnsi="宋体" w:cs="宋体"/>
                <w:kern w:val="0"/>
                <w:sz w:val="24"/>
                <w:szCs w:val="24"/>
                <w:lang w:eastAsia="zh-CN"/>
              </w:rPr>
              <w:t>。</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B. 提供上述合同服务期限内至少一个月的服务方开具的物业费发票凭证原件扫描件。</w:t>
            </w:r>
          </w:p>
          <w:p>
            <w:pPr>
              <w:widowControl/>
              <w:adjustRightInd w:val="0"/>
              <w:snapToGrid w:val="0"/>
              <w:spacing w:line="360" w:lineRule="auto"/>
              <w:rPr>
                <w:rFonts w:hint="eastAsia" w:ascii="宋体" w:hAnsi="宋体" w:eastAsia="宋体" w:cs="宋体"/>
                <w:color w:val="FF0000"/>
                <w:kern w:val="0"/>
                <w:sz w:val="24"/>
                <w:szCs w:val="24"/>
              </w:rPr>
            </w:pPr>
            <w:r>
              <w:rPr>
                <w:rFonts w:hint="eastAsia" w:ascii="宋体" w:hAnsi="宋体" w:eastAsia="宋体" w:cs="宋体"/>
                <w:kern w:val="0"/>
                <w:sz w:val="24"/>
                <w:szCs w:val="24"/>
              </w:rPr>
              <w:t>每个业绩2分，最多10分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投标人相关证书评价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投标人具备质量管理体系认证、环境管理体系认证、职业健康安全管理体系认证，提供证书扫描件。</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具备1个证书得2分，最高6分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派驻项目经理评价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投入的项目经理为投标单位正式员工，提供项目经理姓名、递交响应文件截止日前三个月中连续两个月的由投标单位或其分公司为该项目经理缴纳社会保险证明扫描件，否则不予认定加分。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（1）提供项目经理毕业证书扫描件，该项目经理具有</w:t>
            </w:r>
            <w:r>
              <w:rPr>
                <w:rFonts w:hint="eastAsia" w:ascii="宋体" w:hAnsi="宋体" w:cs="宋体"/>
                <w:color w:val="auto"/>
                <w:kern w:val="0"/>
                <w:sz w:val="24"/>
                <w:szCs w:val="24"/>
                <w:lang w:val="en-US" w:eastAsia="zh-CN"/>
              </w:rPr>
              <w:t>大学本科或以上</w:t>
            </w:r>
            <w:r>
              <w:rPr>
                <w:rFonts w:hint="eastAsia" w:ascii="宋体" w:hAnsi="宋体" w:eastAsia="宋体" w:cs="宋体"/>
                <w:color w:val="auto"/>
                <w:kern w:val="0"/>
                <w:sz w:val="24"/>
                <w:szCs w:val="24"/>
              </w:rPr>
              <w:t>学历的：</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分，其他：0分；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（2）提供项目经理用户服务证明扫描件（加盖用户单位公章），用户服务证明能表明该项目经理具备</w:t>
            </w:r>
            <w:r>
              <w:rPr>
                <w:rFonts w:hint="eastAsia" w:ascii="宋体" w:hAnsi="宋体" w:cs="宋体"/>
                <w:color w:val="auto"/>
                <w:kern w:val="0"/>
                <w:sz w:val="24"/>
                <w:szCs w:val="24"/>
                <w:lang w:val="en-US" w:eastAsia="zh-CN"/>
              </w:rPr>
              <w:t>五年或</w:t>
            </w:r>
            <w:r>
              <w:rPr>
                <w:rFonts w:hint="eastAsia" w:ascii="宋体" w:hAnsi="宋体" w:eastAsia="宋体" w:cs="宋体"/>
                <w:color w:val="auto"/>
                <w:kern w:val="0"/>
                <w:sz w:val="24"/>
                <w:szCs w:val="24"/>
              </w:rPr>
              <w:t>以上非住宅物业管理经验的：2分，其他：0分；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（3）提供项目经理身份证扫描件，该项目经理年龄在</w:t>
            </w:r>
            <w:r>
              <w:rPr>
                <w:rFonts w:hint="eastAsia" w:ascii="宋体" w:hAnsi="宋体" w:cs="宋体"/>
                <w:color w:val="auto"/>
                <w:kern w:val="0"/>
                <w:sz w:val="24"/>
                <w:szCs w:val="24"/>
                <w:lang w:val="en-US" w:eastAsia="zh-CN"/>
              </w:rPr>
              <w:t>40</w:t>
            </w:r>
            <w:r>
              <w:rPr>
                <w:rFonts w:hint="eastAsia" w:ascii="宋体" w:hAnsi="宋体" w:eastAsia="宋体" w:cs="宋体"/>
                <w:color w:val="auto"/>
                <w:kern w:val="0"/>
                <w:sz w:val="24"/>
                <w:szCs w:val="24"/>
              </w:rPr>
              <w:t>周岁或以下的：1分，其他：0分；</w:t>
            </w:r>
          </w:p>
          <w:p>
            <w:pPr>
              <w:widowControl/>
              <w:adjustRightInd w:val="0"/>
              <w:snapToGrid w:val="0"/>
              <w:spacing w:line="360" w:lineRule="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提供项目经理得</w:t>
            </w:r>
            <w:r>
              <w:rPr>
                <w:rFonts w:hint="eastAsia" w:ascii="宋体" w:hAnsi="宋体" w:eastAsia="宋体" w:cs="宋体"/>
                <w:color w:val="auto"/>
                <w:sz w:val="24"/>
                <w:szCs w:val="24"/>
                <w:highlight w:val="none"/>
              </w:rPr>
              <w:t>天津市爱国卫生运动委员会办公室颁发的《天津市病媒生物防制培训证书》</w:t>
            </w:r>
            <w:r>
              <w:rPr>
                <w:rFonts w:hint="eastAsia" w:ascii="宋体" w:hAnsi="宋体" w:eastAsia="宋体" w:cs="宋体"/>
                <w:color w:val="auto"/>
                <w:kern w:val="0"/>
                <w:sz w:val="24"/>
                <w:szCs w:val="24"/>
              </w:rPr>
              <w:t>和卫生防疫部门或医疗机构出具的健康证</w:t>
            </w:r>
            <w:r>
              <w:rPr>
                <w:rFonts w:hint="eastAsia" w:ascii="宋体" w:hAnsi="宋体" w:eastAsia="宋体" w:cs="宋体"/>
                <w:color w:val="auto"/>
                <w:kern w:val="0"/>
                <w:sz w:val="24"/>
                <w:szCs w:val="24"/>
                <w:lang w:val="en-US" w:eastAsia="zh-CN"/>
              </w:rPr>
              <w:t>的：2分。其他：0分。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派驻服务人员评价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保洁员</w:t>
            </w:r>
            <w:r>
              <w:rPr>
                <w:rFonts w:hint="eastAsia" w:ascii="宋体" w:hAnsi="宋体" w:eastAsia="宋体" w:cs="宋体"/>
                <w:sz w:val="24"/>
                <w:szCs w:val="24"/>
                <w:lang w:val="en-US" w:eastAsia="zh-CN"/>
              </w:rPr>
              <w:t>与绿化养护</w:t>
            </w:r>
            <w:r>
              <w:rPr>
                <w:rFonts w:hint="eastAsia" w:ascii="宋体" w:hAnsi="宋体" w:eastAsia="宋体" w:cs="宋体"/>
                <w:kern w:val="0"/>
                <w:sz w:val="24"/>
                <w:szCs w:val="24"/>
              </w:rPr>
              <w:t>：提供</w:t>
            </w:r>
            <w:r>
              <w:rPr>
                <w:rFonts w:hint="eastAsia" w:ascii="宋体" w:hAnsi="宋体" w:eastAsia="宋体" w:cs="宋体"/>
                <w:sz w:val="24"/>
                <w:szCs w:val="24"/>
                <w:lang w:val="en-US" w:eastAsia="zh-CN"/>
              </w:rPr>
              <w:t>天津市爱国卫生运动委员会办公室颁发的《天津市病媒生物防制培训证书》、《特种作作证（高处作业）》及卫生防疫部门或医疗机构出具的健康证</w:t>
            </w:r>
            <w:r>
              <w:rPr>
                <w:rFonts w:hint="eastAsia" w:ascii="宋体" w:hAnsi="宋体" w:eastAsia="宋体" w:cs="宋体"/>
                <w:kern w:val="0"/>
                <w:sz w:val="24"/>
                <w:szCs w:val="24"/>
              </w:rPr>
              <w:t>扫描件且满足磋商文件要求，每个合格的人员得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保洁员</w:t>
            </w:r>
            <w:r>
              <w:rPr>
                <w:rFonts w:hint="eastAsia" w:ascii="宋体" w:hAnsi="宋体" w:eastAsia="宋体" w:cs="宋体"/>
                <w:sz w:val="24"/>
                <w:szCs w:val="24"/>
                <w:lang w:val="en-US" w:eastAsia="zh-CN"/>
              </w:rPr>
              <w:t>与绿化养护</w:t>
            </w:r>
            <w:r>
              <w:rPr>
                <w:rFonts w:hint="eastAsia" w:ascii="宋体" w:hAnsi="宋体" w:eastAsia="宋体" w:cs="宋体"/>
                <w:kern w:val="0"/>
                <w:sz w:val="24"/>
                <w:szCs w:val="24"/>
              </w:rPr>
              <w:t>：提供上述人员（已提供</w:t>
            </w: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cs="宋体"/>
                <w:kern w:val="0"/>
                <w:sz w:val="24"/>
                <w:szCs w:val="24"/>
                <w:lang w:val="en-US" w:eastAsia="zh-CN"/>
              </w:rPr>
              <w:t>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w:t>
            </w:r>
            <w:r>
              <w:rPr>
                <w:rFonts w:hint="eastAsia" w:ascii="宋体" w:hAnsi="宋体" w:eastAsia="宋体" w:cs="宋体"/>
                <w:sz w:val="24"/>
                <w:szCs w:val="24"/>
              </w:rPr>
              <w:t>消防</w:t>
            </w:r>
            <w:r>
              <w:rPr>
                <w:rFonts w:hint="default" w:ascii="宋体" w:hAnsi="宋体" w:eastAsia="宋体" w:cs="宋体"/>
                <w:sz w:val="24"/>
                <w:szCs w:val="24"/>
              </w:rPr>
              <w:t>巡查</w:t>
            </w:r>
            <w:r>
              <w:rPr>
                <w:rFonts w:hint="eastAsia" w:ascii="宋体" w:hAnsi="宋体" w:eastAsia="宋体" w:cs="宋体"/>
                <w:sz w:val="24"/>
                <w:szCs w:val="24"/>
              </w:rPr>
              <w:t>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巡查领班</w:t>
            </w:r>
            <w:r>
              <w:rPr>
                <w:rFonts w:hint="eastAsia" w:ascii="宋体" w:hAnsi="宋体" w:eastAsia="宋体" w:cs="宋体"/>
                <w:sz w:val="24"/>
                <w:szCs w:val="24"/>
                <w:lang w:eastAsia="zh-CN"/>
              </w:rPr>
              <w:t>）</w:t>
            </w:r>
            <w:r>
              <w:rPr>
                <w:rFonts w:hint="eastAsia" w:ascii="宋体" w:hAnsi="宋体" w:eastAsia="宋体" w:cs="宋体"/>
                <w:kern w:val="0"/>
                <w:sz w:val="24"/>
                <w:szCs w:val="24"/>
              </w:rPr>
              <w:t>：提供</w:t>
            </w:r>
            <w:r>
              <w:rPr>
                <w:rFonts w:hint="eastAsia" w:ascii="宋体" w:hAnsi="宋体" w:eastAsia="宋体" w:cs="宋体"/>
                <w:sz w:val="24"/>
                <w:szCs w:val="24"/>
                <w:lang w:val="en-US" w:eastAsia="zh-CN"/>
              </w:rPr>
              <w:t>公安机关盖章的保安员证、</w:t>
            </w:r>
            <w:r>
              <w:rPr>
                <w:rFonts w:hint="eastAsia" w:ascii="宋体" w:hAnsi="宋体" w:eastAsia="宋体" w:cs="宋体"/>
                <w:color w:val="auto"/>
                <w:sz w:val="24"/>
                <w:szCs w:val="24"/>
              </w:rPr>
              <w:t>《职业资格证（建（构）筑物消防员或消防设施操作员）》（四级/中级工</w:t>
            </w:r>
            <w:r>
              <w:rPr>
                <w:rFonts w:hint="eastAsia" w:ascii="宋体" w:hAnsi="宋体" w:eastAsia="宋体" w:cs="宋体"/>
                <w:color w:val="auto"/>
                <w:sz w:val="24"/>
                <w:szCs w:val="24"/>
                <w:lang w:val="en-US" w:eastAsia="zh-CN"/>
              </w:rPr>
              <w:t>或以上</w:t>
            </w:r>
            <w:r>
              <w:rPr>
                <w:rFonts w:hint="eastAsia" w:ascii="宋体" w:hAnsi="宋体" w:eastAsia="宋体" w:cs="宋体"/>
                <w:color w:val="auto"/>
                <w:sz w:val="24"/>
                <w:szCs w:val="24"/>
              </w:rPr>
              <w:t>）</w:t>
            </w:r>
            <w:r>
              <w:rPr>
                <w:rFonts w:hint="eastAsia" w:ascii="宋体" w:hAnsi="宋体" w:eastAsia="宋体" w:cs="宋体"/>
                <w:sz w:val="24"/>
                <w:szCs w:val="24"/>
                <w:lang w:val="en-US" w:eastAsia="zh-CN"/>
              </w:rPr>
              <w:t>及卫生防疫部门或医疗机构出具的健康证</w:t>
            </w:r>
            <w:r>
              <w:rPr>
                <w:rFonts w:hint="eastAsia" w:ascii="宋体" w:hAnsi="宋体" w:eastAsia="宋体" w:cs="宋体"/>
                <w:kern w:val="0"/>
                <w:sz w:val="24"/>
                <w:szCs w:val="24"/>
              </w:rPr>
              <w:t>扫描件且满足磋商文件要求，每个合格的人员得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w:t>
            </w:r>
            <w:r>
              <w:rPr>
                <w:rFonts w:hint="eastAsia" w:ascii="宋体" w:hAnsi="宋体" w:eastAsia="宋体" w:cs="宋体"/>
                <w:sz w:val="24"/>
                <w:szCs w:val="24"/>
              </w:rPr>
              <w:t>消防</w:t>
            </w:r>
            <w:r>
              <w:rPr>
                <w:rFonts w:hint="default" w:ascii="宋体" w:hAnsi="宋体" w:eastAsia="宋体" w:cs="宋体"/>
                <w:sz w:val="24"/>
                <w:szCs w:val="24"/>
              </w:rPr>
              <w:t>巡查</w:t>
            </w:r>
            <w:r>
              <w:rPr>
                <w:rFonts w:hint="eastAsia" w:ascii="宋体" w:hAnsi="宋体" w:eastAsia="宋体" w:cs="宋体"/>
                <w:sz w:val="24"/>
                <w:szCs w:val="24"/>
              </w:rPr>
              <w:t>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巡查领班</w:t>
            </w:r>
            <w:r>
              <w:rPr>
                <w:rFonts w:hint="eastAsia" w:ascii="宋体" w:hAnsi="宋体" w:eastAsia="宋体" w:cs="宋体"/>
                <w:sz w:val="24"/>
                <w:szCs w:val="24"/>
                <w:lang w:eastAsia="zh-CN"/>
              </w:rPr>
              <w:t>）</w:t>
            </w:r>
            <w:r>
              <w:rPr>
                <w:rFonts w:hint="eastAsia" w:ascii="宋体" w:hAnsi="宋体" w:eastAsia="宋体" w:cs="宋体"/>
                <w:kern w:val="0"/>
                <w:sz w:val="24"/>
                <w:szCs w:val="24"/>
              </w:rPr>
              <w:t>：提供上述人员（已提供</w:t>
            </w: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r>
              <w:rPr>
                <w:rFonts w:hint="eastAsia" w:ascii="宋体" w:hAnsi="宋体" w:cs="宋体"/>
                <w:kern w:val="0"/>
                <w:sz w:val="24"/>
                <w:szCs w:val="24"/>
                <w:lang w:val="en-US" w:eastAsia="zh-CN"/>
              </w:rPr>
              <w:t>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）消防</w:t>
            </w:r>
            <w:r>
              <w:rPr>
                <w:rFonts w:hint="default" w:ascii="宋体" w:hAnsi="宋体" w:eastAsia="宋体" w:cs="宋体"/>
                <w:kern w:val="0"/>
                <w:sz w:val="24"/>
                <w:szCs w:val="24"/>
              </w:rPr>
              <w:t>巡查</w:t>
            </w:r>
            <w:r>
              <w:rPr>
                <w:rFonts w:hint="eastAsia" w:ascii="宋体" w:hAnsi="宋体" w:eastAsia="宋体" w:cs="宋体"/>
                <w:kern w:val="0"/>
                <w:sz w:val="24"/>
                <w:szCs w:val="24"/>
              </w:rPr>
              <w:t>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消防巡查</w:t>
            </w:r>
            <w:r>
              <w:rPr>
                <w:rFonts w:hint="eastAsia" w:ascii="宋体" w:hAnsi="宋体" w:eastAsia="宋体" w:cs="宋体"/>
                <w:kern w:val="0"/>
                <w:sz w:val="24"/>
                <w:szCs w:val="24"/>
                <w:lang w:val="en-US" w:eastAsia="zh-CN"/>
              </w:rPr>
              <w:t>队员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：提供</w:t>
            </w:r>
            <w:r>
              <w:rPr>
                <w:rFonts w:hint="eastAsia" w:ascii="宋体" w:hAnsi="宋体" w:eastAsia="宋体" w:cs="宋体"/>
                <w:kern w:val="0"/>
                <w:sz w:val="24"/>
                <w:szCs w:val="24"/>
                <w:lang w:val="en-US" w:eastAsia="zh-CN"/>
              </w:rPr>
              <w:t>公安机关盖章的保安员证、</w:t>
            </w:r>
            <w:r>
              <w:rPr>
                <w:rFonts w:hint="eastAsia" w:ascii="宋体" w:hAnsi="宋体" w:eastAsia="宋体" w:cs="宋体"/>
                <w:kern w:val="0"/>
                <w:sz w:val="24"/>
                <w:szCs w:val="24"/>
              </w:rPr>
              <w:t>《职业资格证（建（构）筑物消防员或消防设施操作员）》</w:t>
            </w:r>
            <w:r>
              <w:rPr>
                <w:rFonts w:hint="eastAsia" w:ascii="宋体" w:hAnsi="宋体" w:eastAsia="宋体" w:cs="宋体"/>
                <w:kern w:val="0"/>
                <w:sz w:val="24"/>
                <w:szCs w:val="24"/>
                <w:lang w:val="en-US" w:eastAsia="zh-CN"/>
              </w:rPr>
              <w:t>及卫生防疫部门或医疗机构出具的健康证</w:t>
            </w:r>
            <w:r>
              <w:rPr>
                <w:rFonts w:hint="eastAsia" w:ascii="宋体" w:hAnsi="宋体" w:eastAsia="宋体" w:cs="宋体"/>
                <w:kern w:val="0"/>
                <w:sz w:val="24"/>
                <w:szCs w:val="24"/>
              </w:rPr>
              <w:t>扫描件且满足磋商文件要求，每个合格的人员得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）消防</w:t>
            </w:r>
            <w:r>
              <w:rPr>
                <w:rFonts w:hint="default" w:ascii="宋体" w:hAnsi="宋体" w:eastAsia="宋体" w:cs="宋体"/>
                <w:kern w:val="0"/>
                <w:sz w:val="24"/>
                <w:szCs w:val="24"/>
              </w:rPr>
              <w:t>巡查</w:t>
            </w:r>
            <w:r>
              <w:rPr>
                <w:rFonts w:hint="eastAsia" w:ascii="宋体" w:hAnsi="宋体" w:eastAsia="宋体" w:cs="宋体"/>
                <w:kern w:val="0"/>
                <w:sz w:val="24"/>
                <w:szCs w:val="24"/>
              </w:rPr>
              <w:t>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消防巡查</w:t>
            </w:r>
            <w:r>
              <w:rPr>
                <w:rFonts w:hint="eastAsia" w:ascii="宋体" w:hAnsi="宋体" w:eastAsia="宋体" w:cs="宋体"/>
                <w:kern w:val="0"/>
                <w:sz w:val="24"/>
                <w:szCs w:val="24"/>
                <w:lang w:val="en-US" w:eastAsia="zh-CN"/>
              </w:rPr>
              <w:t>队员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：提供上述人员（已提供</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4</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w:t>
            </w:r>
            <w:r>
              <w:rPr>
                <w:rFonts w:hint="eastAsia" w:ascii="宋体" w:hAnsi="宋体" w:eastAsia="宋体" w:cs="宋体"/>
                <w:sz w:val="24"/>
                <w:szCs w:val="24"/>
              </w:rPr>
              <w:t>设备维护员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bidi="ar"/>
              </w:rPr>
              <w:t>设备维护</w:t>
            </w:r>
            <w:r>
              <w:rPr>
                <w:rFonts w:hint="eastAsia" w:ascii="宋体" w:hAnsi="宋体" w:eastAsia="宋体" w:cs="宋体"/>
                <w:sz w:val="24"/>
                <w:szCs w:val="24"/>
                <w:lang w:eastAsia="zh-CN"/>
              </w:rPr>
              <w:t>）</w:t>
            </w:r>
            <w:r>
              <w:rPr>
                <w:rFonts w:hint="eastAsia" w:ascii="宋体" w:hAnsi="宋体" w:eastAsia="宋体" w:cs="宋体"/>
                <w:kern w:val="0"/>
                <w:sz w:val="24"/>
                <w:szCs w:val="24"/>
              </w:rPr>
              <w:t>：提供</w:t>
            </w:r>
            <w:r>
              <w:rPr>
                <w:rFonts w:hint="eastAsia" w:ascii="宋体" w:hAnsi="宋体" w:eastAsia="宋体" w:cs="宋体"/>
                <w:sz w:val="24"/>
                <w:szCs w:val="24"/>
                <w:lang w:val="en-US" w:eastAsia="zh-CN" w:bidi="ar"/>
              </w:rPr>
              <w:t>《特种作作证（低压电工作业）》、《特种作作证（焊接与热切割）》、《特种作业操作证（制冷与空调作业）》</w:t>
            </w:r>
            <w:r>
              <w:rPr>
                <w:rFonts w:hint="eastAsia" w:ascii="宋体" w:hAnsi="宋体" w:eastAsia="宋体" w:cs="宋体"/>
                <w:kern w:val="0"/>
                <w:sz w:val="24"/>
                <w:szCs w:val="24"/>
              </w:rPr>
              <w:t>扫描件且满足磋商文件要求，每个合格的人员得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w:t>
            </w:r>
            <w:r>
              <w:rPr>
                <w:rFonts w:hint="eastAsia" w:ascii="宋体" w:hAnsi="宋体" w:eastAsia="宋体" w:cs="宋体"/>
                <w:sz w:val="24"/>
                <w:szCs w:val="24"/>
              </w:rPr>
              <w:t>设备维护员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bidi="ar"/>
              </w:rPr>
              <w:t>设备维护</w:t>
            </w:r>
            <w:r>
              <w:rPr>
                <w:rFonts w:hint="eastAsia" w:ascii="宋体" w:hAnsi="宋体" w:eastAsia="宋体" w:cs="宋体"/>
                <w:sz w:val="24"/>
                <w:szCs w:val="24"/>
                <w:lang w:eastAsia="zh-CN"/>
              </w:rPr>
              <w:t>）</w:t>
            </w:r>
            <w:r>
              <w:rPr>
                <w:rFonts w:hint="eastAsia" w:ascii="宋体" w:hAnsi="宋体" w:eastAsia="宋体" w:cs="宋体"/>
                <w:kern w:val="0"/>
                <w:sz w:val="24"/>
                <w:szCs w:val="24"/>
              </w:rPr>
              <w:t>：提供上述人员（已提供</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w:t>
            </w:r>
            <w:r>
              <w:rPr>
                <w:rFonts w:hint="eastAsia" w:ascii="宋体" w:hAnsi="宋体" w:eastAsia="宋体" w:cs="宋体"/>
                <w:sz w:val="24"/>
                <w:szCs w:val="24"/>
              </w:rPr>
              <w:t>设备维护员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bidi="ar"/>
              </w:rPr>
              <w:t>设备维护</w:t>
            </w:r>
            <w:r>
              <w:rPr>
                <w:rFonts w:hint="eastAsia" w:ascii="宋体" w:hAnsi="宋体" w:eastAsia="宋体" w:cs="宋体"/>
                <w:sz w:val="24"/>
                <w:szCs w:val="24"/>
                <w:lang w:eastAsia="zh-CN"/>
              </w:rPr>
              <w:t>）</w:t>
            </w:r>
            <w:r>
              <w:rPr>
                <w:rFonts w:hint="eastAsia" w:ascii="宋体" w:hAnsi="宋体" w:eastAsia="宋体" w:cs="宋体"/>
                <w:kern w:val="0"/>
                <w:sz w:val="24"/>
                <w:szCs w:val="24"/>
              </w:rPr>
              <w:t>：提供</w:t>
            </w:r>
            <w:r>
              <w:rPr>
                <w:rFonts w:hint="eastAsia" w:ascii="宋体" w:hAnsi="宋体" w:eastAsia="宋体" w:cs="宋体"/>
                <w:sz w:val="24"/>
                <w:szCs w:val="24"/>
                <w:lang w:val="en-US" w:eastAsia="zh-CN" w:bidi="ar"/>
              </w:rPr>
              <w:t>《特种作作操作证（低压电工作业）》、《特种设备安全管理和作业人员证（特种设备安全管理）》</w:t>
            </w:r>
            <w:r>
              <w:rPr>
                <w:rFonts w:hint="eastAsia" w:ascii="宋体" w:hAnsi="宋体" w:eastAsia="宋体" w:cs="宋体"/>
                <w:kern w:val="0"/>
                <w:sz w:val="24"/>
                <w:szCs w:val="24"/>
              </w:rPr>
              <w:t>扫描件且满足磋商文件要求，每个合格的人员得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w:t>
            </w:r>
            <w:r>
              <w:rPr>
                <w:rFonts w:hint="eastAsia" w:ascii="宋体" w:hAnsi="宋体" w:eastAsia="宋体" w:cs="宋体"/>
                <w:sz w:val="24"/>
                <w:szCs w:val="24"/>
              </w:rPr>
              <w:t>设备维护员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bidi="ar"/>
              </w:rPr>
              <w:t>设备维护</w:t>
            </w:r>
            <w:r>
              <w:rPr>
                <w:rFonts w:hint="eastAsia" w:ascii="宋体" w:hAnsi="宋体" w:eastAsia="宋体" w:cs="宋体"/>
                <w:sz w:val="24"/>
                <w:szCs w:val="24"/>
                <w:lang w:eastAsia="zh-CN"/>
              </w:rPr>
              <w:t>）</w:t>
            </w:r>
            <w:r>
              <w:rPr>
                <w:rFonts w:hint="eastAsia" w:ascii="宋体" w:hAnsi="宋体" w:eastAsia="宋体" w:cs="宋体"/>
                <w:kern w:val="0"/>
                <w:sz w:val="24"/>
                <w:szCs w:val="24"/>
              </w:rPr>
              <w:t>：提供上述人员（已提供</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w:t>
            </w:r>
            <w:r>
              <w:rPr>
                <w:rFonts w:hint="eastAsia" w:ascii="宋体" w:hAnsi="宋体" w:eastAsia="宋体" w:cs="宋体"/>
                <w:sz w:val="24"/>
                <w:szCs w:val="24"/>
                <w:lang w:val="en-US" w:eastAsia="zh-CN"/>
              </w:rPr>
              <w:t>电工</w:t>
            </w:r>
            <w:r>
              <w:rPr>
                <w:rFonts w:hint="eastAsia" w:ascii="宋体" w:hAnsi="宋体" w:eastAsia="宋体" w:cs="宋体"/>
                <w:kern w:val="0"/>
                <w:sz w:val="24"/>
                <w:szCs w:val="24"/>
              </w:rPr>
              <w:t>：提供</w:t>
            </w:r>
            <w:r>
              <w:rPr>
                <w:rFonts w:hint="eastAsia" w:ascii="宋体" w:hAnsi="宋体" w:eastAsia="宋体" w:cs="宋体"/>
                <w:kern w:val="0"/>
                <w:sz w:val="24"/>
                <w:szCs w:val="24"/>
                <w:lang w:bidi="ar"/>
              </w:rPr>
              <w:t>《特种作作证（</w:t>
            </w:r>
            <w:r>
              <w:rPr>
                <w:rFonts w:hint="eastAsia" w:ascii="宋体" w:hAnsi="宋体" w:eastAsia="宋体" w:cs="宋体"/>
                <w:kern w:val="0"/>
                <w:sz w:val="24"/>
                <w:szCs w:val="24"/>
                <w:lang w:val="en-US" w:eastAsia="zh-CN" w:bidi="ar"/>
              </w:rPr>
              <w:t>低</w:t>
            </w:r>
            <w:r>
              <w:rPr>
                <w:rFonts w:hint="eastAsia" w:ascii="宋体" w:hAnsi="宋体" w:eastAsia="宋体" w:cs="宋体"/>
                <w:kern w:val="0"/>
                <w:sz w:val="24"/>
                <w:szCs w:val="24"/>
                <w:lang w:bidi="ar"/>
              </w:rPr>
              <w:t>压电工作业）》</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《特种作作证（</w:t>
            </w:r>
            <w:r>
              <w:rPr>
                <w:rFonts w:hint="eastAsia" w:ascii="宋体" w:hAnsi="宋体" w:eastAsia="宋体" w:cs="宋体"/>
                <w:kern w:val="0"/>
                <w:sz w:val="24"/>
                <w:szCs w:val="24"/>
                <w:lang w:val="en-US" w:eastAsia="zh-CN" w:bidi="ar"/>
              </w:rPr>
              <w:t>高</w:t>
            </w:r>
            <w:r>
              <w:rPr>
                <w:rFonts w:hint="eastAsia" w:ascii="宋体" w:hAnsi="宋体" w:eastAsia="宋体" w:cs="宋体"/>
                <w:kern w:val="0"/>
                <w:sz w:val="24"/>
                <w:szCs w:val="24"/>
                <w:lang w:bidi="ar"/>
              </w:rPr>
              <w:t>压电工作业）》</w:t>
            </w:r>
            <w:r>
              <w:rPr>
                <w:rFonts w:hint="eastAsia" w:ascii="宋体" w:hAnsi="宋体" w:eastAsia="宋体" w:cs="宋体"/>
                <w:kern w:val="0"/>
                <w:sz w:val="24"/>
                <w:szCs w:val="24"/>
              </w:rPr>
              <w:t>扫描件且满足磋商文件要求，每个合格的人员得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w:t>
            </w:r>
            <w:r>
              <w:rPr>
                <w:rFonts w:hint="eastAsia" w:ascii="宋体" w:hAnsi="宋体" w:eastAsia="宋体" w:cs="宋体"/>
                <w:sz w:val="24"/>
                <w:szCs w:val="24"/>
                <w:lang w:val="en-US" w:eastAsia="zh-CN"/>
              </w:rPr>
              <w:t>电工</w:t>
            </w:r>
            <w:r>
              <w:rPr>
                <w:rFonts w:hint="eastAsia" w:ascii="宋体" w:hAnsi="宋体" w:eastAsia="宋体" w:cs="宋体"/>
                <w:kern w:val="0"/>
                <w:sz w:val="24"/>
                <w:szCs w:val="24"/>
              </w:rPr>
              <w:t>：提供上述人员（已提供</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tc>
        <w:tc>
          <w:tcPr>
            <w:tcW w:w="1143" w:type="dxa"/>
            <w:shd w:val="clear" w:color="auto" w:fill="auto"/>
            <w:vAlign w:val="center"/>
          </w:tcPr>
          <w:p>
            <w:pPr>
              <w:widowControl/>
              <w:adjustRightInd w:val="0"/>
              <w:snapToGrid w:val="0"/>
              <w:spacing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人员培训方案</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人员培训方案应包含培训计划、培训方式、培训目标、言行规范、仪表仪容、公众形象等。</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每提供上述1项内容的得0.5分，最多3分。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0"/>
                <w:sz w:val="24"/>
                <w:szCs w:val="24"/>
              </w:rPr>
              <w:t>保洁耗材评价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提供具有检测资质的第三方检测机构出具的针对拟投入本项目保洁耗材的CMA检测报告扫描件，每个合格的扫描件得0.5分，最多1分。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bookmarkStart w:id="8" w:name="_GoBack" w:colFirst="0" w:colLast="2"/>
            <w:r>
              <w:rPr>
                <w:rFonts w:hint="eastAsia" w:ascii="宋体" w:hAnsi="宋体" w:eastAsia="宋体" w:cs="宋体"/>
                <w:color w:val="000000"/>
                <w:kern w:val="0"/>
                <w:sz w:val="24"/>
                <w:szCs w:val="24"/>
              </w:rPr>
              <w:t>7</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投标人承诺评价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承诺完全满足竞争性磋商文件“报价要求”、“时间地点要求”、“付款方式要求”和技术要求中非“★”号要求的：</w:t>
            </w:r>
            <w:r>
              <w:rPr>
                <w:rFonts w:hint="eastAsia" w:ascii="宋体" w:hAnsi="宋体" w:cs="宋体"/>
                <w:kern w:val="0"/>
                <w:sz w:val="24"/>
                <w:szCs w:val="24"/>
                <w:lang w:val="en-US" w:eastAsia="zh-CN"/>
              </w:rPr>
              <w:t>6</w:t>
            </w:r>
            <w:r>
              <w:rPr>
                <w:rFonts w:hint="eastAsia" w:ascii="宋体" w:hAnsi="宋体" w:eastAsia="宋体" w:cs="宋体"/>
                <w:kern w:val="0"/>
                <w:sz w:val="24"/>
                <w:szCs w:val="24"/>
              </w:rPr>
              <w:t>分，其他0分。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6</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第三部分 主观分（30分）</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人员、岗位配置方案评价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至少包含各岗位投入人员数量、各岗位内部人员安排配置方案</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要求，无瑕疵：3分；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方案内容存在1处瑕疵：2分；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方案内容存在2处瑕疵：1分；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未提供方案或不满足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要求或内容存在3处及以上瑕疵：0分；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针对本项目特点的专业化管理方案评价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至少包含针对本项目的保洁、秩序维护、设备维护</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绿化养护</w:t>
            </w:r>
            <w:r>
              <w:rPr>
                <w:rFonts w:hint="eastAsia" w:ascii="宋体" w:hAnsi="宋体" w:eastAsia="宋体" w:cs="宋体"/>
                <w:color w:val="auto"/>
                <w:kern w:val="0"/>
                <w:sz w:val="24"/>
                <w:szCs w:val="24"/>
              </w:rPr>
              <w:t>方案</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要求，无瑕疵：6分；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方案内容存在1处瑕疵：4分；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方案内容存在2处瑕疵：2分；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未提供方案或不满足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要求或内容存在3处及以上瑕疵：0分；</w:t>
            </w:r>
          </w:p>
          <w:p>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对项目重点、难点的理解评价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至少包含针对本项目重点和难点的理解以及针对重点难点的应对解决方案</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要求，无瑕疵：6分；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重点难点理解或应对解决方案内容存在1处瑕疵：4分；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重点难点理解或应对解决方案内容存在2处瑕疵：2分；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未提供重点难点理解或应对解决方案或不满足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进驻和接管方案评价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至少包含中标后如何</w:t>
            </w:r>
            <w:r>
              <w:rPr>
                <w:rFonts w:hint="eastAsia" w:ascii="宋体" w:hAnsi="宋体" w:eastAsia="宋体" w:cs="宋体"/>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pPr>
              <w:widowControl/>
              <w:adjustRightInd w:val="0"/>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应急预案评价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人员保密管理方案评价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至少包含保证服务过程中有可能获取的保密信息不泄露的措施：制定保密制度、服务人员保密培训、重点岗位双人服务、泄密惩罚办法。</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人员稳定性方案评价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至少包含服务期内保证人员更换率不得超过</w:t>
            </w:r>
            <w:r>
              <w:rPr>
                <w:rFonts w:hint="eastAsia" w:ascii="宋体" w:hAnsi="宋体" w:cs="宋体"/>
                <w:color w:val="000000" w:themeColor="text1"/>
                <w:sz w:val="24"/>
                <w:szCs w:val="24"/>
                <w:lang w:eastAsia="zh-CN"/>
                <w14:textFill>
                  <w14:solidFill>
                    <w14:schemeClr w14:val="tx1"/>
                  </w14:solidFill>
                </w14:textFill>
              </w:rPr>
              <w:t>项目需求书</w:t>
            </w:r>
            <w:r>
              <w:rPr>
                <w:rFonts w:hint="eastAsia" w:ascii="宋体" w:hAnsi="宋体" w:eastAsia="宋体" w:cs="宋体"/>
                <w:color w:val="000000" w:themeColor="text1"/>
                <w:sz w:val="24"/>
                <w:szCs w:val="24"/>
                <w14:textFill>
                  <w14:solidFill>
                    <w14:schemeClr w14:val="tx1"/>
                  </w14:solidFill>
                </w14:textFill>
              </w:rPr>
              <w:t>要求的措施，保证更换人员不得低于采购需求，且应经采购人同意的措施</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419" w:type="dxa"/>
            <w:shd w:val="clear" w:color="auto" w:fill="auto"/>
            <w:vAlign w:val="center"/>
          </w:tcPr>
          <w:p>
            <w:pPr>
              <w:widowControl/>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价格测算方案评价</w:t>
            </w:r>
          </w:p>
        </w:tc>
        <w:tc>
          <w:tcPr>
            <w:tcW w:w="7311" w:type="dxa"/>
            <w:shd w:val="clear" w:color="auto" w:fill="auto"/>
            <w:vAlign w:val="center"/>
          </w:tcPr>
          <w:p>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价格测算方案评价，根据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价格测算方案科学合理，无瑕疵：3分；</w:t>
            </w:r>
          </w:p>
          <w:p>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内容存在1处瑕疵：2分；</w:t>
            </w:r>
          </w:p>
          <w:p>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内容存在2处瑕疵：1分；</w:t>
            </w:r>
          </w:p>
          <w:p>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未提供测算方案或方案存在3处及以上瑕疵或社会保险、住房公积金应缴未缴的：0分。</w:t>
            </w:r>
          </w:p>
          <w:p>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pPr>
              <w:widowControl/>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w:t>
            </w:r>
          </w:p>
        </w:tc>
        <w:tc>
          <w:tcPr>
            <w:tcW w:w="1143" w:type="dxa"/>
            <w:shd w:val="clear" w:color="auto" w:fill="auto"/>
            <w:vAlign w:val="center"/>
          </w:tcPr>
          <w:p>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bl>
    <w:p>
      <w:pPr>
        <w:spacing w:line="360" w:lineRule="auto"/>
        <w:ind w:firstLine="480" w:firstLineChars="200"/>
        <w:outlineLvl w:val="0"/>
        <w:rPr>
          <w:color w:val="FF0000"/>
          <w:sz w:val="24"/>
        </w:rPr>
      </w:pPr>
    </w:p>
    <w:p>
      <w:pPr>
        <w:widowControl/>
        <w:jc w:val="left"/>
        <w:rPr>
          <w:b/>
          <w:sz w:val="24"/>
        </w:rPr>
      </w:pPr>
      <w:r>
        <w:rPr>
          <w:b/>
          <w:sz w:val="24"/>
        </w:rPr>
        <w:br w:type="page"/>
      </w:r>
    </w:p>
    <w:p>
      <w:pPr>
        <w:spacing w:line="360" w:lineRule="auto"/>
        <w:jc w:val="center"/>
        <w:rPr>
          <w:b/>
          <w:sz w:val="24"/>
        </w:rPr>
      </w:pPr>
      <w:r>
        <w:rPr>
          <w:b/>
          <w:sz w:val="24"/>
        </w:rPr>
        <w:t>项目需求书</w:t>
      </w:r>
    </w:p>
    <w:p>
      <w:pPr>
        <w:spacing w:line="360" w:lineRule="auto"/>
        <w:ind w:firstLine="482" w:firstLineChars="200"/>
        <w:outlineLvl w:val="0"/>
        <w:rPr>
          <w:b/>
          <w:bCs/>
          <w:sz w:val="24"/>
        </w:rPr>
      </w:pPr>
      <w:r>
        <w:rPr>
          <w:rFonts w:hint="eastAsia"/>
          <w:b/>
          <w:bCs/>
          <w:sz w:val="24"/>
        </w:rPr>
        <w:t>一、项目背景</w:t>
      </w:r>
    </w:p>
    <w:p>
      <w:pPr>
        <w:spacing w:line="360" w:lineRule="auto"/>
        <w:ind w:firstLine="480" w:firstLineChars="200"/>
        <w:outlineLvl w:val="0"/>
        <w:rPr>
          <w:rFonts w:hint="eastAsia"/>
          <w:sz w:val="24"/>
        </w:rPr>
      </w:pPr>
      <w:r>
        <w:rPr>
          <w:rFonts w:hint="eastAsia"/>
          <w:sz w:val="24"/>
        </w:rPr>
        <w:t>天津市津南区人民检察院坐落于津南区咸水沽镇南环路33号。总建筑面积11834平方米，其中：主楼建筑面积8985平方米，地下一层2371平方米，附属楼建筑面积478平方米，建筑物为九层建筑一栋，平房一处。绿化面积4000平方米。各类房间125间，房屋附属设备有食堂设备、消防设备、强电设备、弱电设备、供暖设备、供水设备、电梯设备、中央空调设备等。</w:t>
      </w:r>
    </w:p>
    <w:p>
      <w:pPr>
        <w:spacing w:line="360" w:lineRule="auto"/>
        <w:ind w:firstLine="480" w:firstLineChars="200"/>
        <w:outlineLvl w:val="0"/>
        <w:rPr>
          <w:sz w:val="24"/>
        </w:rPr>
      </w:pPr>
      <w:r>
        <w:rPr>
          <w:rFonts w:hint="eastAsia"/>
          <w:sz w:val="24"/>
        </w:rPr>
        <w:t>项目服务内容包括安保、环境卫生、供电、供气、给排水等设施设备运行及日常维修维护、绿化服务等管理服务内容，并配合与督促电梯，消防，空调系统相关维保公司进行的定期维保和维修工作。</w:t>
      </w:r>
    </w:p>
    <w:p>
      <w:pPr>
        <w:spacing w:line="360" w:lineRule="auto"/>
        <w:ind w:firstLine="480" w:firstLineChars="200"/>
        <w:outlineLvl w:val="0"/>
        <w:rPr>
          <w:rFonts w:hint="eastAsia" w:eastAsia="宋体"/>
          <w:sz w:val="24"/>
          <w:lang w:eastAsia="zh-CN"/>
        </w:rPr>
      </w:pPr>
      <w:r>
        <w:rPr>
          <w:rFonts w:hint="eastAsia"/>
          <w:sz w:val="24"/>
        </w:rPr>
        <w:t>本项目属于物业管理行业</w:t>
      </w:r>
      <w:r>
        <w:rPr>
          <w:rFonts w:hint="eastAsia"/>
          <w:sz w:val="24"/>
          <w:lang w:eastAsia="zh-CN"/>
        </w:rPr>
        <w:t>。</w:t>
      </w:r>
    </w:p>
    <w:p>
      <w:pPr>
        <w:spacing w:line="360" w:lineRule="auto"/>
        <w:ind w:firstLine="482" w:firstLineChars="200"/>
        <w:outlineLvl w:val="0"/>
        <w:rPr>
          <w:b/>
          <w:bCs/>
          <w:sz w:val="24"/>
        </w:rPr>
      </w:pPr>
      <w:r>
        <w:rPr>
          <w:rFonts w:hint="eastAsia"/>
          <w:b/>
          <w:bCs/>
          <w:sz w:val="24"/>
        </w:rPr>
        <w:t>二、人员及岗位要求</w:t>
      </w:r>
    </w:p>
    <w:tbl>
      <w:tblPr>
        <w:tblStyle w:val="16"/>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254"/>
        <w:gridCol w:w="832"/>
        <w:gridCol w:w="4079"/>
        <w:gridCol w:w="1185"/>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9"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254"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岗位名称</w:t>
            </w:r>
          </w:p>
        </w:tc>
        <w:tc>
          <w:tcPr>
            <w:tcW w:w="832"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人数</w:t>
            </w:r>
          </w:p>
        </w:tc>
        <w:tc>
          <w:tcPr>
            <w:tcW w:w="4079"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要求</w:t>
            </w:r>
          </w:p>
        </w:tc>
        <w:tc>
          <w:tcPr>
            <w:tcW w:w="1185"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是否接受退休人员</w:t>
            </w:r>
          </w:p>
        </w:tc>
        <w:tc>
          <w:tcPr>
            <w:tcW w:w="1569"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9"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54"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项目经理</w:t>
            </w:r>
          </w:p>
          <w:p>
            <w:pPr>
              <w:adjustRightInd w:val="0"/>
              <w:snapToGrid w:val="0"/>
              <w:spacing w:line="360" w:lineRule="auto"/>
              <w:jc w:val="center"/>
              <w:rPr>
                <w:rFonts w:hint="eastAsia" w:ascii="宋体" w:hAnsi="宋体" w:eastAsia="宋体" w:cs="宋体"/>
                <w:sz w:val="24"/>
                <w:szCs w:val="24"/>
              </w:rPr>
            </w:pPr>
          </w:p>
        </w:tc>
        <w:tc>
          <w:tcPr>
            <w:tcW w:w="832"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079" w:type="dxa"/>
            <w:noWrap w:val="0"/>
            <w:vAlign w:val="center"/>
          </w:tcPr>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性别不限，4</w:t>
            </w:r>
            <w:r>
              <w:rPr>
                <w:rFonts w:hint="eastAsia" w:ascii="宋体" w:hAnsi="宋体" w:eastAsia="宋体" w:cs="宋体"/>
                <w:sz w:val="24"/>
                <w:szCs w:val="24"/>
                <w:lang w:val="en-US" w:eastAsia="zh-CN"/>
              </w:rPr>
              <w:t>0</w:t>
            </w:r>
            <w:r>
              <w:rPr>
                <w:rFonts w:hint="eastAsia" w:ascii="宋体" w:hAnsi="宋体" w:eastAsia="宋体" w:cs="宋体"/>
                <w:sz w:val="24"/>
                <w:szCs w:val="24"/>
              </w:rPr>
              <w:t>周岁</w:t>
            </w:r>
            <w:r>
              <w:rPr>
                <w:rFonts w:hint="eastAsia" w:ascii="宋体" w:hAnsi="宋体" w:eastAsia="宋体" w:cs="宋体"/>
                <w:sz w:val="24"/>
                <w:szCs w:val="24"/>
                <w:lang w:val="en-US" w:eastAsia="zh-CN"/>
              </w:rPr>
              <w:t>或</w:t>
            </w:r>
            <w:r>
              <w:rPr>
                <w:rFonts w:hint="eastAsia" w:ascii="宋体" w:hAnsi="宋体" w:eastAsia="宋体" w:cs="宋体"/>
                <w:sz w:val="24"/>
                <w:szCs w:val="24"/>
              </w:rPr>
              <w:t>以下；身体健康，无前科劣迹。</w:t>
            </w:r>
            <w:r>
              <w:rPr>
                <w:rFonts w:hint="eastAsia" w:ascii="宋体" w:hAnsi="宋体" w:eastAsia="宋体" w:cs="宋体"/>
                <w:sz w:val="24"/>
                <w:szCs w:val="24"/>
                <w:lang w:val="en-US" w:eastAsia="zh-CN"/>
              </w:rPr>
              <w:t>大学</w:t>
            </w:r>
            <w:r>
              <w:rPr>
                <w:rFonts w:hint="eastAsia" w:ascii="宋体" w:hAnsi="宋体" w:eastAsia="宋体" w:cs="宋体"/>
                <w:sz w:val="24"/>
                <w:szCs w:val="24"/>
                <w:highlight w:val="none"/>
              </w:rPr>
              <w:t>本科</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rPr>
              <w:t>以上学历</w:t>
            </w:r>
            <w:r>
              <w:rPr>
                <w:rFonts w:hint="eastAsia" w:ascii="宋体" w:hAnsi="宋体" w:eastAsia="宋体" w:cs="宋体"/>
                <w:sz w:val="24"/>
                <w:szCs w:val="24"/>
              </w:rPr>
              <w:t>，五年</w:t>
            </w:r>
            <w:r>
              <w:rPr>
                <w:rFonts w:hint="eastAsia" w:ascii="宋体" w:hAnsi="宋体" w:eastAsia="宋体" w:cs="宋体"/>
                <w:sz w:val="24"/>
                <w:szCs w:val="24"/>
                <w:lang w:val="en-US" w:eastAsia="zh-CN"/>
              </w:rPr>
              <w:t>或</w:t>
            </w:r>
            <w:r>
              <w:rPr>
                <w:rFonts w:hint="eastAsia" w:ascii="宋体" w:hAnsi="宋体" w:eastAsia="宋体" w:cs="宋体"/>
                <w:sz w:val="24"/>
                <w:szCs w:val="24"/>
              </w:rPr>
              <w:t>以上非住宅物业项目管理经验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持有</w:t>
            </w:r>
            <w:r>
              <w:rPr>
                <w:rFonts w:hint="eastAsia" w:ascii="宋体" w:hAnsi="宋体" w:eastAsia="宋体" w:cs="宋体"/>
                <w:sz w:val="24"/>
                <w:szCs w:val="24"/>
                <w:highlight w:val="none"/>
              </w:rPr>
              <w:t>天津市爱国卫生运动委员会办公室颁发的《天津市病媒生物防制培训证书》</w:t>
            </w:r>
            <w:r>
              <w:rPr>
                <w:rFonts w:hint="eastAsia" w:ascii="宋体" w:hAnsi="宋体" w:eastAsia="宋体" w:cs="宋体"/>
                <w:kern w:val="0"/>
                <w:sz w:val="24"/>
                <w:szCs w:val="24"/>
              </w:rPr>
              <w:t>和卫生防疫部门或医疗机构出具的健康证</w:t>
            </w:r>
            <w:r>
              <w:rPr>
                <w:rFonts w:hint="eastAsia" w:ascii="宋体" w:hAnsi="宋体" w:eastAsia="宋体" w:cs="宋体"/>
                <w:sz w:val="24"/>
                <w:szCs w:val="24"/>
                <w:shd w:val="clear" w:color="auto" w:fill="FFFFFF"/>
              </w:rPr>
              <w:t>。</w:t>
            </w:r>
          </w:p>
        </w:tc>
        <w:tc>
          <w:tcPr>
            <w:tcW w:w="1185"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569" w:type="dxa"/>
            <w:noWrap w:val="0"/>
            <w:vAlign w:val="center"/>
          </w:tcPr>
          <w:p>
            <w:pPr>
              <w:adjustRightInd w:val="0"/>
              <w:snapToGrid w:val="0"/>
              <w:spacing w:line="360" w:lineRule="auto"/>
              <w:jc w:val="center"/>
              <w:rPr>
                <w:rFonts w:hint="eastAsia" w:ascii="Times New Roman" w:hAnsi="Times New Roman" w:eastAsia="宋体" w:cs="Times New Roman"/>
                <w:szCs w:val="20"/>
              </w:rPr>
            </w:pPr>
            <w:r>
              <w:rPr>
                <w:rFonts w:hint="eastAsia" w:ascii="宋体" w:hAnsi="宋体" w:eastAsia="宋体" w:cs="宋体"/>
                <w:sz w:val="24"/>
                <w:szCs w:val="24"/>
              </w:rPr>
              <w:t>每天8小时</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9"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254"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保洁员</w:t>
            </w:r>
            <w:r>
              <w:rPr>
                <w:rFonts w:hint="eastAsia" w:ascii="宋体" w:hAnsi="宋体" w:eastAsia="宋体" w:cs="宋体"/>
                <w:sz w:val="24"/>
                <w:szCs w:val="24"/>
                <w:lang w:val="en-US" w:eastAsia="zh-CN"/>
              </w:rPr>
              <w:t>与绿化养护</w:t>
            </w:r>
          </w:p>
        </w:tc>
        <w:tc>
          <w:tcPr>
            <w:tcW w:w="832"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4079" w:type="dxa"/>
            <w:noWrap w:val="0"/>
            <w:vAlign w:val="center"/>
          </w:tcPr>
          <w:p>
            <w:pPr>
              <w:keepNext w:val="0"/>
              <w:keepLines w:val="0"/>
              <w:pageBreakBefore w:val="0"/>
              <w:kinsoku/>
              <w:wordWrap/>
              <w:overflowPunct/>
              <w:topLinePunct w:val="0"/>
              <w:autoSpaceDE/>
              <w:autoSpaceDN/>
              <w:bidi w:val="0"/>
              <w:adjustRightInd/>
              <w:snapToGrid w:val="0"/>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保洁员与绿化养护（非退休人员）：</w:t>
            </w:r>
            <w:r>
              <w:rPr>
                <w:rFonts w:hint="eastAsia" w:ascii="宋体" w:hAnsi="宋体" w:eastAsia="宋体" w:cs="宋体"/>
                <w:sz w:val="24"/>
                <w:szCs w:val="24"/>
              </w:rPr>
              <w:t>男女不限，</w:t>
            </w:r>
            <w:r>
              <w:rPr>
                <w:rFonts w:hint="eastAsia" w:ascii="宋体" w:hAnsi="宋体" w:eastAsia="宋体" w:cs="宋体"/>
                <w:sz w:val="24"/>
                <w:szCs w:val="24"/>
                <w:lang w:val="en-US" w:eastAsia="zh-CN"/>
              </w:rPr>
              <w:t>男：60周岁以下，女：50周岁或以下，</w:t>
            </w:r>
            <w:r>
              <w:rPr>
                <w:rFonts w:hint="eastAsia" w:ascii="宋体" w:hAnsi="宋体" w:eastAsia="宋体" w:cs="宋体"/>
                <w:sz w:val="24"/>
                <w:szCs w:val="24"/>
              </w:rPr>
              <w:t>身体健康，无前科劣迹</w:t>
            </w:r>
            <w:r>
              <w:rPr>
                <w:rFonts w:hint="eastAsia" w:ascii="宋体" w:hAnsi="宋体" w:eastAsia="宋体" w:cs="宋体"/>
                <w:sz w:val="24"/>
                <w:szCs w:val="24"/>
                <w:lang w:val="en-US" w:eastAsia="zh-CN"/>
              </w:rPr>
              <w:t>。持有天津市爱国卫生运动委员会办公室颁发的《天津市病媒生物防制培训证书》和卫生防疫部门或医疗机构出具的健康证证，其中两人具有《特种作作证（高处作业）》。</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保洁员与绿化养护（退休人员）：</w:t>
            </w:r>
            <w:r>
              <w:rPr>
                <w:rFonts w:hint="eastAsia" w:ascii="宋体" w:hAnsi="宋体" w:eastAsia="宋体" w:cs="宋体"/>
                <w:sz w:val="24"/>
                <w:szCs w:val="24"/>
              </w:rPr>
              <w:t>男女不限，身体健康，无前科劣迹，具有多年绿化养护工作及农田种植经验，熟悉各种绿植修剪及防虫药剂使用</w:t>
            </w:r>
            <w:r>
              <w:rPr>
                <w:rFonts w:hint="eastAsia" w:ascii="宋体" w:hAnsi="宋体" w:eastAsia="宋体" w:cs="宋体"/>
                <w:sz w:val="24"/>
                <w:szCs w:val="24"/>
                <w:lang w:eastAsia="zh-CN"/>
              </w:rPr>
              <w:t>，</w:t>
            </w:r>
            <w:r>
              <w:rPr>
                <w:rFonts w:hint="eastAsia" w:ascii="宋体" w:hAnsi="宋体" w:eastAsia="宋体" w:cs="宋体"/>
                <w:sz w:val="24"/>
                <w:szCs w:val="24"/>
              </w:rPr>
              <w:t>提供</w:t>
            </w:r>
            <w:r>
              <w:rPr>
                <w:rFonts w:hint="eastAsia" w:ascii="宋体" w:hAnsi="宋体" w:eastAsia="宋体" w:cs="宋体"/>
                <w:kern w:val="0"/>
                <w:sz w:val="24"/>
                <w:szCs w:val="24"/>
              </w:rPr>
              <w:t>卫生防疫部门或医疗机构出具的健康证</w:t>
            </w:r>
            <w:r>
              <w:rPr>
                <w:rFonts w:hint="eastAsia" w:ascii="宋体" w:hAnsi="宋体" w:eastAsia="宋体" w:cs="宋体"/>
                <w:sz w:val="24"/>
                <w:szCs w:val="24"/>
              </w:rPr>
              <w:t>。</w:t>
            </w:r>
          </w:p>
        </w:tc>
        <w:tc>
          <w:tcPr>
            <w:tcW w:w="1185"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最多接受3名退休</w:t>
            </w:r>
          </w:p>
        </w:tc>
        <w:tc>
          <w:tcPr>
            <w:tcW w:w="1569"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每天8小时</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9"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54"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秩序维护员</w:t>
            </w:r>
          </w:p>
        </w:tc>
        <w:tc>
          <w:tcPr>
            <w:tcW w:w="832"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407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shd w:val="clear" w:color="auto" w:fill="FFFFFF"/>
              </w:rPr>
              <w:t>秩序维护员4人，传达室1人，男，身体健康；无前科劣迹，持公安机关</w:t>
            </w:r>
            <w:r>
              <w:rPr>
                <w:rFonts w:hint="eastAsia" w:ascii="宋体" w:hAnsi="宋体" w:eastAsia="宋体" w:cs="宋体"/>
                <w:sz w:val="24"/>
                <w:szCs w:val="24"/>
                <w:shd w:val="clear" w:color="auto" w:fill="FFFFFF"/>
                <w:lang w:val="en-US" w:eastAsia="zh-CN"/>
              </w:rPr>
              <w:t>盖章</w:t>
            </w:r>
            <w:r>
              <w:rPr>
                <w:rFonts w:hint="eastAsia" w:ascii="宋体" w:hAnsi="宋体" w:eastAsia="宋体" w:cs="宋体"/>
                <w:sz w:val="24"/>
                <w:szCs w:val="24"/>
                <w:shd w:val="clear" w:color="auto" w:fill="FFFFFF"/>
              </w:rPr>
              <w:t>的保安员证</w:t>
            </w:r>
            <w:r>
              <w:rPr>
                <w:rFonts w:hint="eastAsia" w:ascii="宋体" w:hAnsi="宋体" w:eastAsia="宋体" w:cs="宋体"/>
                <w:sz w:val="24"/>
                <w:szCs w:val="24"/>
                <w:shd w:val="clear" w:color="auto" w:fill="FFFFFF"/>
                <w:lang w:val="en-US" w:eastAsia="zh-CN"/>
              </w:rPr>
              <w:t>和卫生防疫部门或医疗机构出具的健康证</w:t>
            </w:r>
            <w:r>
              <w:rPr>
                <w:rFonts w:hint="eastAsia" w:ascii="宋体" w:hAnsi="宋体" w:eastAsia="宋体" w:cs="宋体"/>
                <w:sz w:val="24"/>
                <w:szCs w:val="24"/>
                <w:shd w:val="clear" w:color="auto" w:fill="FFFFFF"/>
              </w:rPr>
              <w:t>上岗。</w:t>
            </w:r>
          </w:p>
        </w:tc>
        <w:tc>
          <w:tcPr>
            <w:tcW w:w="1185"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是</w:t>
            </w:r>
          </w:p>
        </w:tc>
        <w:tc>
          <w:tcPr>
            <w:tcW w:w="1569"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秩序维护：</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24小时值守</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四班三运转</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传达室：</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每天8小时</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9"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254"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消防</w:t>
            </w:r>
            <w:r>
              <w:rPr>
                <w:rFonts w:hint="default" w:ascii="宋体" w:hAnsi="宋体" w:eastAsia="宋体" w:cs="宋体"/>
                <w:sz w:val="24"/>
                <w:szCs w:val="24"/>
              </w:rPr>
              <w:t>巡查</w:t>
            </w:r>
            <w:r>
              <w:rPr>
                <w:rFonts w:hint="eastAsia" w:ascii="宋体" w:hAnsi="宋体" w:eastAsia="宋体" w:cs="宋体"/>
                <w:sz w:val="24"/>
                <w:szCs w:val="24"/>
              </w:rPr>
              <w:t>员</w:t>
            </w:r>
          </w:p>
        </w:tc>
        <w:tc>
          <w:tcPr>
            <w:tcW w:w="832" w:type="dxa"/>
            <w:noWrap w:val="0"/>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4079" w:type="dxa"/>
            <w:noWrap w:val="0"/>
            <w:vAlign w:val="center"/>
          </w:tcPr>
          <w:p>
            <w:pPr>
              <w:adjustRightInd w:val="0"/>
              <w:snapToGrid w:val="0"/>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t>男，身体健康；无前科劣迹；</w:t>
            </w:r>
            <w:r>
              <w:rPr>
                <w:rFonts w:hint="eastAsia" w:ascii="宋体" w:hAnsi="宋体" w:eastAsia="宋体" w:cs="宋体"/>
                <w:sz w:val="24"/>
                <w:szCs w:val="24"/>
                <w:lang w:val="en-US" w:eastAsia="zh-CN"/>
              </w:rPr>
              <w:t>均持有公安机关盖章的保安员证及卫生防疫部门或医疗机构出具的健康证上岗。</w:t>
            </w:r>
          </w:p>
          <w:p>
            <w:pPr>
              <w:numPr>
                <w:ilvl w:val="0"/>
                <w:numId w:val="1"/>
              </w:num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能熟练掌握电脑及监控设备操作；</w:t>
            </w:r>
          </w:p>
          <w:p>
            <w:pPr>
              <w:numPr>
                <w:ilvl w:val="0"/>
                <w:numId w:val="1"/>
              </w:num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其中一人为巡查领班持</w:t>
            </w:r>
            <w:r>
              <w:rPr>
                <w:rFonts w:hint="eastAsia" w:ascii="宋体" w:hAnsi="宋体" w:eastAsia="宋体" w:cs="宋体"/>
                <w:color w:val="auto"/>
                <w:sz w:val="24"/>
                <w:szCs w:val="24"/>
              </w:rPr>
              <w:t>《职业资格证（建（构）筑物消防员或消防设施操作员）》（四级/中级工</w:t>
            </w:r>
            <w:r>
              <w:rPr>
                <w:rFonts w:hint="eastAsia" w:ascii="宋体" w:hAnsi="宋体" w:eastAsia="宋体" w:cs="宋体"/>
                <w:color w:val="auto"/>
                <w:sz w:val="24"/>
                <w:szCs w:val="24"/>
                <w:lang w:val="en-US" w:eastAsia="zh-CN"/>
              </w:rPr>
              <w:t>或以上</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numPr>
                <w:ilvl w:val="0"/>
                <w:numId w:val="1"/>
              </w:num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消防巡查</w:t>
            </w:r>
            <w:r>
              <w:rPr>
                <w:rFonts w:hint="eastAsia" w:ascii="宋体" w:hAnsi="宋体" w:eastAsia="宋体" w:cs="宋体"/>
                <w:sz w:val="24"/>
                <w:szCs w:val="24"/>
                <w:lang w:val="en-US" w:eastAsia="zh-CN"/>
              </w:rPr>
              <w:t>队员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4人</w:t>
            </w:r>
            <w:r>
              <w:rPr>
                <w:rFonts w:hint="eastAsia" w:ascii="宋体" w:hAnsi="宋体" w:eastAsia="宋体" w:cs="宋体"/>
                <w:sz w:val="24"/>
                <w:szCs w:val="24"/>
                <w:lang w:eastAsia="zh-CN"/>
              </w:rPr>
              <w:t>）</w:t>
            </w:r>
            <w:r>
              <w:rPr>
                <w:rFonts w:hint="eastAsia" w:ascii="宋体" w:hAnsi="宋体" w:eastAsia="宋体" w:cs="宋体"/>
                <w:sz w:val="24"/>
                <w:szCs w:val="24"/>
              </w:rPr>
              <w:t>均持《职业资格证书（建（构）筑物消防员或消防设施操作员）》；</w:t>
            </w:r>
          </w:p>
        </w:tc>
        <w:tc>
          <w:tcPr>
            <w:tcW w:w="1185"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569"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24小时值守</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四班三运转</w:t>
            </w:r>
          </w:p>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与采购人工作人员共同轮转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9"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254"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设备维护员</w:t>
            </w:r>
          </w:p>
        </w:tc>
        <w:tc>
          <w:tcPr>
            <w:tcW w:w="832"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079" w:type="dxa"/>
            <w:noWrap w:val="0"/>
            <w:vAlign w:val="center"/>
          </w:tcPr>
          <w:p>
            <w:pPr>
              <w:widowControl/>
              <w:adjustRightInd w:val="0"/>
              <w:snapToGrid w:val="0"/>
              <w:spacing w:line="360" w:lineRule="auto"/>
              <w:textAlignment w:val="center"/>
              <w:rPr>
                <w:rFonts w:hint="eastAsia" w:ascii="宋体" w:hAnsi="宋体" w:eastAsia="宋体" w:cs="宋体"/>
                <w:sz w:val="24"/>
                <w:szCs w:val="24"/>
                <w:lang w:bidi="ar"/>
              </w:rPr>
            </w:pPr>
            <w:r>
              <w:rPr>
                <w:rFonts w:hint="eastAsia" w:ascii="宋体" w:hAnsi="宋体" w:eastAsia="宋体" w:cs="宋体"/>
                <w:sz w:val="24"/>
                <w:szCs w:val="24"/>
                <w:lang w:bidi="ar"/>
              </w:rPr>
              <w:t>男，身体健康；无前科劣迹；</w:t>
            </w:r>
          </w:p>
          <w:p>
            <w:pPr>
              <w:widowControl/>
              <w:adjustRightInd w:val="0"/>
              <w:snapToGrid w:val="0"/>
              <w:spacing w:line="360" w:lineRule="auto"/>
              <w:textAlignment w:val="center"/>
              <w:rPr>
                <w:rFonts w:hint="eastAsia" w:ascii="宋体" w:hAnsi="宋体" w:eastAsia="宋体" w:cs="宋体"/>
                <w:sz w:val="24"/>
                <w:szCs w:val="24"/>
                <w:lang w:bidi="ar"/>
              </w:rPr>
            </w:pPr>
            <w:r>
              <w:rPr>
                <w:rFonts w:hint="eastAsia" w:ascii="宋体" w:hAnsi="宋体" w:eastAsia="宋体" w:cs="宋体"/>
                <w:sz w:val="24"/>
                <w:szCs w:val="24"/>
                <w:lang w:val="en-US" w:eastAsia="zh-CN" w:bidi="ar"/>
              </w:rPr>
              <w:t>负责</w:t>
            </w:r>
            <w:r>
              <w:rPr>
                <w:rFonts w:hint="eastAsia" w:ascii="宋体" w:hAnsi="宋体" w:eastAsia="宋体" w:cs="宋体"/>
                <w:sz w:val="24"/>
                <w:szCs w:val="24"/>
                <w:lang w:bidi="ar"/>
              </w:rPr>
              <w:t>楼内</w:t>
            </w:r>
            <w:r>
              <w:rPr>
                <w:rFonts w:hint="eastAsia" w:ascii="宋体" w:hAnsi="宋体" w:eastAsia="宋体" w:cs="宋体"/>
                <w:sz w:val="24"/>
                <w:szCs w:val="24"/>
                <w:lang w:val="en-US" w:eastAsia="zh-CN" w:bidi="ar"/>
              </w:rPr>
              <w:t>设施，</w:t>
            </w:r>
            <w:r>
              <w:rPr>
                <w:rFonts w:hint="eastAsia" w:ascii="宋体" w:hAnsi="宋体" w:eastAsia="宋体" w:cs="宋体"/>
                <w:sz w:val="24"/>
                <w:szCs w:val="24"/>
                <w:lang w:bidi="ar"/>
              </w:rPr>
              <w:t>日常水、暖维修。</w:t>
            </w:r>
          </w:p>
          <w:p>
            <w:pPr>
              <w:widowControl/>
              <w:adjustRightInd w:val="0"/>
              <w:snapToGrid w:val="0"/>
              <w:spacing w:line="360" w:lineRule="auto"/>
              <w:textAlignment w:val="center"/>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设备维护2人持《特种作作证（低压电工作业）》、《特种作作证（焊接与热切割）》、《特种作业操作证（制冷与空调作业）》上岗。</w:t>
            </w:r>
          </w:p>
          <w:p>
            <w:pPr>
              <w:widowControl/>
              <w:adjustRightInd w:val="0"/>
              <w:snapToGrid w:val="0"/>
              <w:spacing w:line="360" w:lineRule="auto"/>
              <w:textAlignment w:val="center"/>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电梯管理2人持《特种作作操作证（低压电工作业）》、《特种设备安全管理和作业人员证（特种设备安全管理）》上岗。</w:t>
            </w:r>
          </w:p>
        </w:tc>
        <w:tc>
          <w:tcPr>
            <w:tcW w:w="1185"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569"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24小时值守</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四班三运转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9"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254"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电工</w:t>
            </w:r>
          </w:p>
        </w:tc>
        <w:tc>
          <w:tcPr>
            <w:tcW w:w="832"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4079" w:type="dxa"/>
            <w:noWrap w:val="0"/>
            <w:vAlign w:val="center"/>
          </w:tcPr>
          <w:p>
            <w:pPr>
              <w:widowControl/>
              <w:adjustRightInd w:val="0"/>
              <w:snapToGrid w:val="0"/>
              <w:spacing w:line="360" w:lineRule="auto"/>
              <w:textAlignment w:val="center"/>
              <w:rPr>
                <w:rFonts w:hint="eastAsia" w:ascii="宋体" w:hAnsi="宋体" w:eastAsia="宋体" w:cs="宋体"/>
                <w:sz w:val="24"/>
                <w:szCs w:val="24"/>
                <w:lang w:eastAsia="zh-CN"/>
              </w:rPr>
            </w:pPr>
            <w:r>
              <w:rPr>
                <w:rFonts w:hint="eastAsia" w:ascii="宋体" w:hAnsi="宋体" w:eastAsia="宋体" w:cs="宋体"/>
                <w:kern w:val="0"/>
                <w:sz w:val="24"/>
                <w:szCs w:val="24"/>
                <w:lang w:bidi="ar"/>
              </w:rPr>
              <w:t>男，</w:t>
            </w:r>
            <w:r>
              <w:rPr>
                <w:rFonts w:hint="eastAsia" w:ascii="宋体" w:hAnsi="宋体" w:eastAsia="宋体" w:cs="宋体"/>
                <w:kern w:val="0"/>
                <w:sz w:val="24"/>
                <w:szCs w:val="24"/>
                <w:lang w:val="en-US" w:eastAsia="zh-CN" w:bidi="ar"/>
              </w:rPr>
              <w:t>55</w:t>
            </w:r>
            <w:r>
              <w:rPr>
                <w:rFonts w:hint="eastAsia" w:ascii="宋体" w:hAnsi="宋体" w:eastAsia="宋体" w:cs="宋体"/>
                <w:kern w:val="0"/>
                <w:sz w:val="24"/>
                <w:szCs w:val="24"/>
                <w:lang w:bidi="ar"/>
              </w:rPr>
              <w:t>岁</w:t>
            </w:r>
            <w:r>
              <w:rPr>
                <w:rFonts w:hint="eastAsia" w:ascii="宋体" w:hAnsi="宋体" w:eastAsia="宋体" w:cs="宋体"/>
                <w:kern w:val="0"/>
                <w:sz w:val="24"/>
                <w:szCs w:val="24"/>
                <w:lang w:val="en-US" w:eastAsia="zh-CN" w:bidi="ar"/>
              </w:rPr>
              <w:t>或</w:t>
            </w:r>
            <w:r>
              <w:rPr>
                <w:rFonts w:hint="eastAsia" w:ascii="宋体" w:hAnsi="宋体" w:eastAsia="宋体" w:cs="宋体"/>
                <w:kern w:val="0"/>
                <w:sz w:val="24"/>
                <w:szCs w:val="24"/>
                <w:lang w:bidi="ar"/>
              </w:rPr>
              <w:t>以下，</w:t>
            </w:r>
            <w:r>
              <w:rPr>
                <w:rFonts w:hint="eastAsia" w:ascii="宋体" w:hAnsi="宋体" w:eastAsia="宋体" w:cs="宋体"/>
                <w:sz w:val="24"/>
                <w:szCs w:val="24"/>
              </w:rPr>
              <w:t>身体健康；无前科劣迹；</w:t>
            </w:r>
            <w:r>
              <w:rPr>
                <w:rFonts w:hint="eastAsia" w:ascii="宋体" w:hAnsi="宋体" w:eastAsia="宋体" w:cs="宋体"/>
                <w:kern w:val="0"/>
                <w:sz w:val="24"/>
                <w:szCs w:val="24"/>
                <w:lang w:bidi="ar"/>
              </w:rPr>
              <w:t>持《特种作作证（</w:t>
            </w:r>
            <w:r>
              <w:rPr>
                <w:rFonts w:hint="eastAsia" w:ascii="宋体" w:hAnsi="宋体" w:eastAsia="宋体" w:cs="宋体"/>
                <w:kern w:val="0"/>
                <w:sz w:val="24"/>
                <w:szCs w:val="24"/>
                <w:lang w:val="en-US" w:eastAsia="zh-CN" w:bidi="ar"/>
              </w:rPr>
              <w:t>低</w:t>
            </w:r>
            <w:r>
              <w:rPr>
                <w:rFonts w:hint="eastAsia" w:ascii="宋体" w:hAnsi="宋体" w:eastAsia="宋体" w:cs="宋体"/>
                <w:kern w:val="0"/>
                <w:sz w:val="24"/>
                <w:szCs w:val="24"/>
                <w:lang w:bidi="ar"/>
              </w:rPr>
              <w:t>压电工作业）》</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《特种作作证（</w:t>
            </w:r>
            <w:r>
              <w:rPr>
                <w:rFonts w:hint="eastAsia" w:ascii="宋体" w:hAnsi="宋体" w:eastAsia="宋体" w:cs="宋体"/>
                <w:kern w:val="0"/>
                <w:sz w:val="24"/>
                <w:szCs w:val="24"/>
                <w:lang w:val="en-US" w:eastAsia="zh-CN" w:bidi="ar"/>
              </w:rPr>
              <w:t>高</w:t>
            </w:r>
            <w:r>
              <w:rPr>
                <w:rFonts w:hint="eastAsia" w:ascii="宋体" w:hAnsi="宋体" w:eastAsia="宋体" w:cs="宋体"/>
                <w:kern w:val="0"/>
                <w:sz w:val="24"/>
                <w:szCs w:val="24"/>
                <w:lang w:bidi="ar"/>
              </w:rPr>
              <w:t>压电工作业）》上岗</w:t>
            </w:r>
            <w:r>
              <w:rPr>
                <w:rFonts w:hint="eastAsia" w:ascii="宋体" w:hAnsi="宋体" w:eastAsia="宋体" w:cs="宋体"/>
                <w:kern w:val="0"/>
                <w:sz w:val="24"/>
                <w:szCs w:val="24"/>
                <w:lang w:eastAsia="zh-CN" w:bidi="ar"/>
              </w:rPr>
              <w:t>。</w:t>
            </w:r>
          </w:p>
        </w:tc>
        <w:tc>
          <w:tcPr>
            <w:tcW w:w="1185"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569" w:type="dxa"/>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每天8小时</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75" w:type="dxa"/>
            <w:gridSpan w:val="3"/>
            <w:noWrap w:val="0"/>
            <w:vAlign w:val="center"/>
          </w:tcPr>
          <w:p>
            <w:pPr>
              <w:adjustRightInd w:val="0"/>
              <w:snapToGrid w:val="0"/>
              <w:spacing w:line="360" w:lineRule="auto"/>
              <w:ind w:firstLine="175" w:firstLineChars="73"/>
              <w:jc w:val="center"/>
              <w:rPr>
                <w:rFonts w:hint="eastAsia" w:ascii="宋体" w:hAnsi="宋体" w:eastAsia="宋体" w:cs="宋体"/>
                <w:sz w:val="24"/>
                <w:szCs w:val="24"/>
              </w:rPr>
            </w:pPr>
            <w:r>
              <w:rPr>
                <w:rFonts w:hint="eastAsia" w:ascii="宋体" w:hAnsi="宋体" w:eastAsia="宋体" w:cs="宋体"/>
                <w:sz w:val="24"/>
                <w:szCs w:val="24"/>
              </w:rPr>
              <w:t>合计</w:t>
            </w:r>
          </w:p>
        </w:tc>
        <w:tc>
          <w:tcPr>
            <w:tcW w:w="6833" w:type="dxa"/>
            <w:gridSpan w:val="3"/>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人</w:t>
            </w:r>
          </w:p>
        </w:tc>
      </w:tr>
    </w:tbl>
    <w:p>
      <w:pPr>
        <w:pStyle w:val="28"/>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rPr>
      </w:pPr>
      <w:r>
        <w:rPr>
          <w:rFonts w:hint="eastAsia"/>
        </w:rPr>
        <w:t>注：</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sz w:val="24"/>
        </w:rPr>
      </w:pPr>
      <w:r>
        <w:rPr>
          <w:sz w:val="24"/>
        </w:rPr>
        <w:t>按劳动法</w:t>
      </w:r>
      <w:r>
        <w:rPr>
          <w:rFonts w:hint="eastAsia"/>
          <w:sz w:val="24"/>
        </w:rPr>
        <w:t>和国务院关于职工工作时间的规定</w:t>
      </w:r>
      <w:r>
        <w:rPr>
          <w:sz w:val="24"/>
        </w:rPr>
        <w:t>，正常情况下，上述人员每日工作不超过8小时，每周工作不超过40小时。需安排加班的，</w:t>
      </w:r>
      <w:r>
        <w:rPr>
          <w:rFonts w:hint="eastAsia"/>
          <w:sz w:val="24"/>
        </w:rPr>
        <w:t>成交</w:t>
      </w:r>
      <w:r>
        <w:rPr>
          <w:sz w:val="24"/>
        </w:rPr>
        <w:t>供应商应配合并向劳动者支付加班费。</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sz w:val="24"/>
        </w:rPr>
      </w:pPr>
      <w:r>
        <w:rPr>
          <w:rFonts w:hint="eastAsia"/>
          <w:sz w:val="24"/>
        </w:rPr>
        <w:t>一旦获得成交资格，上述人员按要求投入本项目服务，非经采购人同意，不随意更换人员。</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b/>
          <w:bCs/>
          <w:sz w:val="24"/>
          <w:szCs w:val="20"/>
        </w:rPr>
      </w:pPr>
      <w:r>
        <w:rPr>
          <w:rFonts w:hint="eastAsia" w:ascii="宋体" w:hAnsi="宋体" w:eastAsia="宋体" w:cs="宋体"/>
          <w:b/>
          <w:bCs/>
          <w:sz w:val="24"/>
          <w:szCs w:val="20"/>
        </w:rPr>
        <w:t>三、服务内容、标准与要求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0"/>
        </w:rPr>
      </w:pPr>
      <w:r>
        <w:rPr>
          <w:rFonts w:hint="eastAsia" w:ascii="宋体" w:hAnsi="宋体" w:eastAsia="宋体" w:cs="宋体"/>
          <w:b/>
          <w:bCs/>
          <w:sz w:val="24"/>
          <w:szCs w:val="20"/>
        </w:rPr>
        <w:t>（一）项目经理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1.1．实施物业管理方案，服务达到质量要求；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1.2．负责对外联络事宜，做好内外协调工作。定期组织召开工作例会，做好内部沟通，及时检查、总结和部署工作；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1.3．负责本部门安全和日常质量管理工作，坚持循环检查指导和督促在管区域服务工作，严格按照工作规程和质量要求抓落实，实行标准化作业。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1.4．根据质量管理体系要求，落实执行基本制度和工作计划，检查落实情况，奖优罚劣；负责本部门员工的业务技能培训工作，提高员工的整体业务素质。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1.5．抓好服务意识建设，使全体员工牢固树立“客户至上，服务第一”的宗旨；检查各部门当日工作计划，并交办当日工作任务；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1.6．对所发现的问题及时整改；定期开展访问活动及满意度调查工作，听取服务单位的意见，不断提高管理水平。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0"/>
        </w:rPr>
      </w:pPr>
      <w:r>
        <w:rPr>
          <w:rFonts w:hint="default" w:ascii="宋体" w:hAnsi="宋体" w:eastAsia="宋体" w:cs="宋体"/>
          <w:sz w:val="24"/>
          <w:szCs w:val="20"/>
        </w:rPr>
        <w:t>1.7．熟悉了解病媒生物防治知识，具有消杀除四害经验。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2.1．认真全面履行本项目物业合同，高质量完成物业合同确定的管理目标和管理内容；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2.2．年度、月度工作计划内容全面、切合实际、可操作性强，并能够按时保质完成；物业管理各项制度健全，监督执行到位，能快速响应，及时处理问题；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2.3．物业管理组织架构合理、高效，人员配备到位，职责明确，物业服务人员须具有良好精神面貌和积极的工作态度；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物业各点位操作规程内容全面、详细，工作程序明确、效率高，可操作性强，并能够在工作到得到严格执行；防水、防火、防盗、防恐等应急预案全面、齐全，可操作性强，遇到突发性事件能够及时、有效处置；投诉渠道通畅，做到有投诉必接，接到投诉及时处理，给投诉者一个满意的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2.5．物业各工种履行岗位职责到位，确保各种设备运行正常，各种标识及设施完好无损；按时完成采购人布置的其它各项工作任务。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0"/>
        </w:rPr>
      </w:pPr>
      <w:r>
        <w:rPr>
          <w:rFonts w:hint="eastAsia" w:ascii="宋体" w:hAnsi="宋体" w:eastAsia="宋体" w:cs="宋体"/>
          <w:b/>
          <w:bCs/>
          <w:sz w:val="24"/>
          <w:szCs w:val="20"/>
        </w:rPr>
        <w:t>（二）清洁卫生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1.1．负责楼内公共区域的卫生清洁服务，包括楼梯间、走廊、大厅、电梯间、卫生间、会议室、检察长接待室、电子阅览室、荣誉室、廉政教育基地、健身中心、干警值班室、洗浴室的清洁卫生及卫生消杀工作。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1.2．负责楼外公共区域的卫生清洁服务包括：院落、停车处、绿植及设施的清洁卫生及卫生消杀工作。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1.3．负责地下车库卫生清洁服务包括：地面、车位及设施的清洁卫生及卫生消杀工作。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1.4．负责公共区域绿植的养护。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1.5．负责垃圾清运和集中存放管理。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2、服务标准及要求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2.1．公共区域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2.1.1.1．地面光亮无水迹、污迹、无尘物；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2.1.1.2.楼梯、走廊、指示牌、门牌、通风窗口、踢脚线、墙壁、柱子、天花无尘和无污物；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2.1.1.3．垃圾桶内垃圾不超过1/2，并摆放整齐，外观干净；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2.1.1.4．花盆外观干净，花叶无尘土，花盆内无杂物；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2.1.1.5．玻璃、门窗无污迹，水迹、裂痕；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2.1.1.6.厅堂内无蚊蝇；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2.1.1.7．灯饰及其它饰物无尘土、破损；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2.1.1.8．大厅入口、踏步、墙壁表面、所有玻璃、门窗及设施无尘土，大理石墙面光亮、无污迹，水迹；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2.1.1.9．大厅天花板无尘埃；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2.1.1.10．无鼠害、无蚊蝇、无蟑螂。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2.1.2.1．清理楼内的所有垃圾、对垃圾进行分类回收；搜集及清理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所有垃圾箱和花盆内的垃圾；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2.1.2.2．清理所有出入口、大门及门牌，清洁所有窗户及指示牌；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2.1.2.3．清除所有手印及污渍，包括楼梯墙壁；清洁所有扶手、栏杆及玻璃表面；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2.1.2.4．清洁所有照明灯饰；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2.1.2.5．拖擦地、台表面，清洁所有楼梯、走廊及窗户；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2.1.2.6．清扫、刷洗大厅入口地台及阶梯，清扫大厅天花板尘埃；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2.1.2.7．擦净入口大厅内墙壁表面和所有玻璃门窗及设施；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2.1.2.8．卫生工具禁止乱摆、乱放，要统一存放。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2.2.1．服务人员必须通过政审，政治可靠、有较强的保密、安全意识，组织纪律观念强，最好是中共党员；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2.2.2．服务人员必修经过专业培训合格后上岗，身体健康、爱岗敬业、服务周到；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2.2.3．门窗、玻璃明亮，洁净，一年内每间办公室门窗玻璃擦洗四次；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2.2.4．地面干净无杂物，墙壁、顶棚清洁，无尘物；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2.2.5。座椅、沙发、茶几、茶具、书柜等办公物品保持整洁干净，无尘污，摆放整齐；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2.2.6．文件报刊、杂志、书籍等摆放整齐，有序、定位；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2.2.7．经常保持室内空气清新，无蟑螂蚊蝇。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2.3、公共卫生间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2.3.1.1．门窗、天花板、墙壁、隔板无尘物、无污迹；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2.3.1.2．玻璃、镜面明亮无水迹；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2.3.1.3．地面、墙角无尘、无污迹、无杂物、无蛛网、无水迹；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2.3.1.4．地面、水龙头、弯管、马桶座及盖水箱等无污迹、无污物、电镀件明亮；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2.3.1.5．便池无尘、无污迹、无杂物，小便池内香球不少于2个，并及时更换；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2.3.1.6．垃圾桶不超过1/2即清理；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2.3.1.7．厕内设备设施无尘、无污迹；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2.3.1.8．墩布存放处干净、整洁、无杂物，物品码放整齐。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2.3.2.1．每天做卫生3次；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2.3.2.2．擦净所有门、天花板；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2.3.2.3．擦、冲及洗净所有洗手间设备；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2.3.2.4．擦净所有洗手间镜面；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2.3.2.5．擦净地、台表面；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2.3.2.6．天花板及照明设备表面除尘；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2.3.2.7．清理垃圾桶脏物；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2.3.2.8．清洁卫生洁具，便器清水清洗后，使用洁厕灵洗外围，随时保持清洁；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2.3.2.9．门把手、水龙头、门、窗、洗手池、便池保持清洁，抹布、拖把等清洁工具明确标记，严格区分，不得混用，每次使用后冲洗消毒；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2.3.2.10．清洁工具存放指定区域，规范存放。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2.4．电梯轿厢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2.4.1．服务标准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2.4.1.1．电梯门表面、轿厢内壁、指示牌无尘土、印迹，表面光亮。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2.4.1.2．电梯天花板、门缝无尘土。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2.4.1.3．电梯控制室地面清洁，无杂物。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2.4.2服务要求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2.4.2.1电梯轿厢每天擦拭2次；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2.4.2.2操作板面每天消毒1次；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2.4.3.3轿厢四壁及天花无尘土、污渍；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2.4.4.4防尘毯无尘土、污渍，每周更换一次。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2.5、楼外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2.5.1、服务标准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2.5.1.1．庭院、广场地面清洁无废弃物；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2.5.1.2．烟头、废纸、杂物、落叶等，随时捡拾入桶，保持地面干净；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2.5.1.3．院落清扫及时，地面无积水、积雪。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2.5.2．服务要求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2.5.2.1．楼内垃圾桶倾倒；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2.5.2.2．围栏的每天清洁；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2.5.2.3．前后庭院及大门周边每天地面清洁；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2.5.2.4．夏季清除积水、冬季清扫积雪。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2.6地库每月冲洗一次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2.7其他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2.7.1．院史展、书吧、查微析疑阅卷室、警务区、12309检查服务中心等，每日清洁一次，干净整洁、无积尘、污渍；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2.7.2．值班室床品每天换洗；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2.7.3．办公室沙发罩定期清洗；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0"/>
        </w:rPr>
      </w:pPr>
      <w:r>
        <w:rPr>
          <w:rFonts w:hint="eastAsia" w:ascii="宋体" w:hAnsi="宋体" w:eastAsia="宋体" w:cs="宋体"/>
          <w:color w:val="auto"/>
          <w:sz w:val="24"/>
          <w:szCs w:val="20"/>
        </w:rPr>
        <w:t>2.7.4. 对本院检察人员检察制服进行清洗。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宋体" w:hAnsi="宋体" w:eastAsia="宋体" w:cs="宋体"/>
          <w:b/>
          <w:bCs/>
          <w:color w:val="auto"/>
          <w:sz w:val="24"/>
          <w:szCs w:val="20"/>
          <w:lang w:val="en-US" w:eastAsia="zh-CN"/>
        </w:rPr>
      </w:pPr>
      <w:r>
        <w:rPr>
          <w:rFonts w:hint="eastAsia" w:ascii="宋体" w:hAnsi="宋体" w:eastAsia="宋体" w:cs="宋体"/>
          <w:b/>
          <w:bCs/>
          <w:color w:val="auto"/>
          <w:sz w:val="24"/>
          <w:szCs w:val="20"/>
        </w:rPr>
        <w:t>（三）秩序维护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1.1．门岗执勤：为保证安全和办公秩序对外来人员来访进行登记、查验；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1.2．做好安全巡视、做好防火、防盗工作；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1.3．监控室职守；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1.4．车辆、道路及环境秩序的维护；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1.5．消防管理工作。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2.1．严格执行验证登记制度，出入口设专职秩序维护员职守，了解并熟练使用掌握门禁系统，及时识别外来人员，杜绝闲杂人员入内；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2.2．消防器材检查及时，使用有效；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2.3．熟悉和爱护配套公用设施、消防器材，并熟练掌握使用方法；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2.4．能及时发现和处理各种安全和事故隐患，能迅速有效处置突发事件；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2.5．定期开展消防演练，提高消防安全防范技能和意识；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2.6．监控室显示器工作正常。按规定切换监视画面，无遗漏；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2.7．确保各监视点位能正常反应；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2.8．收到各系统传导的信息传导接报及时、反应迅速、判断准确、处理及时；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2.9．做好保密工作，无领导书面批准，不得借与他人传阅、翻看录像资料。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3.1．建立健全和落实治安、消防管理制度；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3.2．秩序维护人员必须通过政审，政治可靠、品行端正、有较强的保密、安全意识，组织纪律观念强，复员（转退）军人、中共党员优先录用；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3.3．庭院、办公楼（区）环境秩序良好，道路通畅，车辆停放有序，机动车、自行车停车场秩序井然，物业范围内发生交通事故5分钟到达现场，保护现场、疏导交通；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3.4．秩序维护人员要进行业务培训，定期组织考核，提高服务技能和自身素质；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3.5．24小时执勤，不得有脱岗、睡岗、空岗现象；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3.6．做好办公楼（区）来人来访证件检验、登记、通报，并负责对携带的随身物品进行安全检查；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3.7．做好对易燃、易爆、放射、剧毒等危险品的安全检查及防范工作；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3.8．对监控室进行24小时值守；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3.9．经常对消防设施、电梯、门禁、照明、电路及其他公共设施进行巡视检查，夜班对办公楼内地库至顶层及院落每两小时巡更一次，并在设定的巡更点打卡留痕，消除不安全隐患，发现问题及时报告，保证机关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3.10．开展消防检查和演练，消除不安全隐患，防止火灾发生；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3.11．定期检查灭火器，制定灭火器保养方案和计划，并对灭火器进行保养，填写巡查记录；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3.12．制定发生火灾火警等应急抗灾工作预案，提高处理自然灾害、意外事故的能力，协助招标方处理突发事件；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3.13．做好重大活动、重要领导、宾客及重大节日的安全防范工作；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3.14．出入口周边、院外秩序维护巡查，保障秩序良好，无拥堵，乱停乱放现象；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3.15在工作中，发现重大问题要妥善处理及时向甲方报告。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0"/>
        </w:rPr>
      </w:pPr>
      <w:r>
        <w:rPr>
          <w:rFonts w:hint="eastAsia" w:ascii="宋体" w:hAnsi="宋体" w:eastAsia="宋体" w:cs="宋体"/>
          <w:b/>
          <w:bCs/>
          <w:sz w:val="24"/>
          <w:szCs w:val="20"/>
        </w:rPr>
        <w:t>（四）设施维修养护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1.1．公共设施包括：包括室内及通道吊顶、内墙面、门窗、室内外照明设施、宣传栏、标牌导向标志、交通导示日常管理和维护；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1.2．窗五金件、玻璃、墙面开关、墙面插座、办公家具、门窗、门锁等每日巡查，维修及时，保证正常使用，完成小型物件的安装工作。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2、服务标准及要求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2.1．公共设施无破损、变形，无明显锈蚀，照明设施、各类标识完好牢固；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2.2．办公家具、门窗，牢固、平整、美观无锈蚀、开关灵活、接缝严密、不松动，门窗及门窗配件齐全；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2.3.配合各科室小型物件安装；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2.4．属于公房管理单位维修范畴的维修项目及时联系上报维修。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0"/>
        </w:rPr>
      </w:pPr>
      <w:r>
        <w:rPr>
          <w:rFonts w:hint="eastAsia" w:ascii="宋体" w:hAnsi="宋体" w:eastAsia="宋体" w:cs="宋体"/>
          <w:b/>
          <w:bCs/>
          <w:sz w:val="24"/>
          <w:szCs w:val="20"/>
        </w:rPr>
        <w:t>（五）设备维修养护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统一着装整齐，精神饱满，24小时值守。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1、给排水设备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项目内全部给排水系统设备的维修养护和管理。对水泵、水箱、消火栓、管道、管件、阀门、水嘴、卫生洁具、排水管及附属构筑件的正常运行使用。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1.2．服务标准及要求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1.2.1．作业人员持证上岗，坚守工作岗位，每天巡视检查，记录清晰、管理严格，保证给排水系统设备运行正常；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1.2.2．定期对排水管道巡视检查，防止跑、冒、滴、漏，保证设备完好；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1.2.3．加强巡视检查，消防用水系统供水正常，禁止消防用水挪作他用；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1.2.4．保持室外排水系统畅通；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1.2.5．汛期保障地下室防汛排水设施运转正常，有防汛应急预案；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1.2.6．设备出现故障时，维修人员应在5分钟内到达现场，一般性故障排除不过夜，做好维修记录，维修合格率100%；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2、配电设备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楼内配电室、低压电器、电气照明、电线电缆等设备的日常检查养护维修工作及双电源切换。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2.2.1．运行维修人员必须持证上岗；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2.2.2．加强日常巡视、维护、检修；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2.2.3．公共照明、指示灯具、开关完好；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2.2.4．严格执行安全用电规范，确保用电安全；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2.3.1．对楼内配电室、低压电器设备、电气照明设施、电线电缆等设备进行日常运行、养护和维修工作；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2.3.2.工作日每天巡视、维护、检修，节假日前进行全面安全检查，遇有情况及时维修排除故障，遇有重点问题立即报告；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2.3.3.建立设备档案；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2.3.4．建立、落实配电制度；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2.3.5．及时排除设备故障，保证供电设备完好。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2.2.6．设备出现故障时，维修人员应在5分钟内到达现场，一般性故障排除不过夜，做好维修记录，维修合格率100%；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3、电梯设备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3.1.1．院内电梯的日常运行管理；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3.1.2．院内电梯的日常巡视检查；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3.1.3．配合甲方对院内电梯维保单位养护、维修工作的监督；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3.1.4．督促电梯的安全年检工作按期进行。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3.2.1．每日对电梯等设施设备的运行及完好情况进行巡视检查，有巡视检查记录；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3.2.2．电梯在安全状态下运行。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3.2.3．电梯一旦发现隐患立即停梯，不带病运行，保证乘梯安全。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3.3、服务要求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3.3.1．维修人员掌握电梯维保单位的联系电话和联系人；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3.3.2．督促电梯维保单位对电梯按半月、季度、半年、全年的频度进行例行养护；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3.3.3．提醒采购人对电梯进行年度安全检查。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3.3.4．对电梯维保单位的养护记录、检测报告记录及维修记录进行检查；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3.3.5．电梯发生故障时物业电梯安全员5分钟内赶到现场并及时通知电梯维保单位维修；若电梯发生闷人故障时，立即通知甲方和维保单位，并严格按照电梯操作规范流程，协助甲方积极救员。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4、消防设备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对采购人单位内消防设施设备的巡视检查和报修工作。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4.2.1．消防设施、设备保养服务（含灭火器年检、换粉）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4.2.2．保证设备齐全、性能良好，运行正常；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4.2.3．灭火器外观完好，压力正常；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4.2.4．消防设施设备及管线无跑、冒、滴、漏现象和无锈蚀。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4.3．服务要求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4.3.1．每日对消防设施设备进行巡视检查，有巡视检查记录；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4.3.2．维修人员掌握维修单位的联系电话和联系人；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4.3.3．消防设施设备发生故障或者损坏时，及时报修；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4.3.4．配合采购人对维修单位维修服务进行监督。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4.3.5．因建筑改造、设备检修等情况需要临时停用消防设施，告知当地公安机关消防机构，并采取有效措施确保消防安全。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4.3.6．每季对灭火器进行性能检查，发现不合格立即报甲方进行更换。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5、空调设备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对院内空调设备进行巡视检查，发生故障时及时报修。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5.2.1．制冷及供热期间对空调配电间、水箱、水压表等空调设备进行巡视检查，有巡视检查记录；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5.2.2．空调在运行期内运行正常，处于完好状态；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5.2.3．空调在运行时无滴漏水现象；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5.3．服务要求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5.3.1．建立空调设备档案；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5.3.2．根据招标方要求按时启闭空调运行；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2.3.3．维修人员掌握维修单位的联系电话和联系人；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2.3.4．运转期间每天对空调设备进行巡视检查，如遇运转问题要时及排除或报修；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2.3.5．配合采购人对维修单位维修服务进行监督。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6.1．服务内容：对院内电动门、热水器等设施设备进行巡视检查。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6.2.1．门禁系统、热水器等设备运行处于完好状态；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6.2.2．设备故障发现及时，维修及时，报修及时。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6.3．服务要求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6.3.1．每日对门禁系统、热水器等设备进行巡视检查，有巡视检查记录；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6.3.2．维修人员掌握维修单位的联系电话和联系人；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6.3.3．上述设备发生故障时及时维修或报修；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6.3.4．配合采购人对门禁系统、热水器等设备维修单位维修服务进行监督。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0"/>
          <w:lang w:eastAsia="zh-CN"/>
        </w:rPr>
      </w:pPr>
      <w:r>
        <w:rPr>
          <w:rFonts w:hint="eastAsia" w:ascii="宋体" w:hAnsi="宋体" w:eastAsia="宋体" w:cs="宋体"/>
          <w:b/>
          <w:bCs/>
          <w:sz w:val="24"/>
          <w:szCs w:val="20"/>
        </w:rPr>
        <w:t>（六）</w:t>
      </w:r>
      <w:r>
        <w:rPr>
          <w:rFonts w:hint="eastAsia" w:ascii="宋体" w:hAnsi="宋体" w:eastAsia="宋体" w:cs="宋体"/>
          <w:b/>
          <w:bCs/>
          <w:sz w:val="24"/>
          <w:szCs w:val="20"/>
          <w:lang w:val="en-US" w:eastAsia="zh-CN"/>
        </w:rPr>
        <w:t>电工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1、服务内容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供电设备管理维护是指为保证全院供电系统正常运行对高、低压电器设备、电线电缆、电气照明装置等设备进行日常管理和维护。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统筹规划，做到合理、节约用电。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供电运行和维修人员必须持证上岗。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加强日常维护检修，公共使用的照明、指示灯具线路和开关要保证完好。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设备出现故障时，维修人员应在</w:t>
      </w:r>
      <w:r>
        <w:rPr>
          <w:rFonts w:ascii="Times New Roman" w:hAnsi="Times New Roman" w:eastAsia="宋体" w:cs="Times New Roman"/>
          <w:sz w:val="24"/>
          <w:szCs w:val="20"/>
        </w:rPr>
        <w:t>10</w:t>
      </w:r>
      <w:r>
        <w:rPr>
          <w:rFonts w:hint="eastAsia" w:ascii="Times New Roman" w:hAnsi="Times New Roman" w:eastAsia="宋体" w:cs="Times New Roman"/>
          <w:sz w:val="24"/>
          <w:szCs w:val="20"/>
        </w:rPr>
        <w:t>分钟内到达现场，设备维修合格率达到</w:t>
      </w:r>
      <w:r>
        <w:rPr>
          <w:rFonts w:ascii="Times New Roman" w:hAnsi="Times New Roman" w:eastAsia="宋体" w:cs="Times New Roman"/>
          <w:sz w:val="24"/>
          <w:szCs w:val="20"/>
        </w:rPr>
        <w:t>100%</w:t>
      </w:r>
      <w:r>
        <w:rPr>
          <w:rFonts w:hint="eastAsia" w:ascii="Times New Roman" w:hAnsi="Times New Roman" w:eastAsia="宋体" w:cs="Times New Roman"/>
          <w:sz w:val="24"/>
          <w:szCs w:val="20"/>
        </w:rPr>
        <w:t>，一般性维修不过夜。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严格执行用电安全规范，确保用电安全。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保证避雷设施完好，有效、安全。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保证夜景照明、节日灯系统正常运行，按照采购人要求按时关启。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负责室外泛光灯及照明设备设施的维护及配件更换。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具体内容包括：</w:t>
      </w:r>
    </w:p>
    <w:tbl>
      <w:tblPr>
        <w:tblStyle w:val="16"/>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4829"/>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blHeader/>
          <w:jc w:val="center"/>
        </w:trPr>
        <w:tc>
          <w:tcPr>
            <w:tcW w:w="1233"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项目名称</w:t>
            </w:r>
          </w:p>
        </w:tc>
        <w:tc>
          <w:tcPr>
            <w:tcW w:w="4829"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内容</w:t>
            </w:r>
          </w:p>
        </w:tc>
        <w:tc>
          <w:tcPr>
            <w:tcW w:w="3468" w:type="dxa"/>
            <w:noWrap w:val="0"/>
            <w:vAlign w:val="center"/>
          </w:tcPr>
          <w:p>
            <w:pPr>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3" w:type="dxa"/>
            <w:vMerge w:val="restart"/>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高压环网柜</w:t>
            </w:r>
          </w:p>
        </w:tc>
        <w:tc>
          <w:tcPr>
            <w:tcW w:w="482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每周：检查外观是否完好、运行有无噪声。检查指示灯是否完好。备用柜“禁止合闸”标示悬挂位置是否正确。清理外部灰尘。</w:t>
            </w:r>
          </w:p>
        </w:tc>
        <w:tc>
          <w:tcPr>
            <w:tcW w:w="3468" w:type="dxa"/>
            <w:vMerge w:val="restart"/>
            <w:tcBorders>
              <w:bottom w:val="single" w:color="auto" w:sz="4" w:space="0"/>
            </w:tcBorders>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（1）对供电范围内的电气设备定期巡视维护和重点检测，建立各项设备档案（包括电气平面图、设备管理图、接线图等图样），做到安全、合理、节约用电；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（2）建立严格的配送电运行制度、电气维修制度和配电房管理制度，供电运行和维修人员必须持证上岗；</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（3）建立24小时运行维修值班制度，及时排除故障，零星维修合格率100%；</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（4）加强日常维护检修，公共使用的照明灯具、线路、开关保证完好，确保用电安全；</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（5）加强日常检查巡视，及时更换灯具光源，确保节日灯光的正常使用；定期检测，发现故障及时维修，零星维修及时率达到100%，小修不过夜。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33" w:type="dxa"/>
            <w:vMerge w:val="continue"/>
            <w:noWrap w:val="0"/>
            <w:vAlign w:val="center"/>
          </w:tcPr>
          <w:p>
            <w:pPr>
              <w:adjustRightInd w:val="0"/>
              <w:snapToGrid w:val="0"/>
              <w:spacing w:line="360" w:lineRule="auto"/>
              <w:rPr>
                <w:rFonts w:hint="eastAsia" w:ascii="宋体" w:hAnsi="宋体" w:eastAsia="宋体" w:cs="宋体"/>
                <w:sz w:val="24"/>
                <w:szCs w:val="24"/>
              </w:rPr>
            </w:pPr>
          </w:p>
        </w:tc>
        <w:tc>
          <w:tcPr>
            <w:tcW w:w="482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每年：检查操作机构是否灵活、互锁机构是否正常。检测接地电阻（应符合规定要求）。检查电源接地线装置，并紧固螺丝。自动合闸电瓶加注电解液，检修充电器。</w:t>
            </w:r>
          </w:p>
        </w:tc>
        <w:tc>
          <w:tcPr>
            <w:tcW w:w="3468"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3" w:type="dxa"/>
            <w:vMerge w:val="restart"/>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变压器</w:t>
            </w:r>
          </w:p>
        </w:tc>
        <w:tc>
          <w:tcPr>
            <w:tcW w:w="482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每周：检查外观是否完好，有无异常响声。检查温控器指示是否正常，超温时风机能否正常起动，风机运行是否正常。变压器电压、电流是否在额定范围内。</w:t>
            </w:r>
          </w:p>
        </w:tc>
        <w:tc>
          <w:tcPr>
            <w:tcW w:w="3468"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33" w:type="dxa"/>
            <w:vMerge w:val="continue"/>
            <w:noWrap w:val="0"/>
            <w:vAlign w:val="center"/>
          </w:tcPr>
          <w:p>
            <w:pPr>
              <w:adjustRightInd w:val="0"/>
              <w:snapToGrid w:val="0"/>
              <w:spacing w:line="360" w:lineRule="auto"/>
              <w:rPr>
                <w:rFonts w:hint="eastAsia" w:ascii="宋体" w:hAnsi="宋体" w:eastAsia="宋体" w:cs="宋体"/>
                <w:sz w:val="24"/>
                <w:szCs w:val="24"/>
              </w:rPr>
            </w:pPr>
          </w:p>
        </w:tc>
        <w:tc>
          <w:tcPr>
            <w:tcW w:w="482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每年：检测接地电阻，各接线装置紧固。检测变压器线圈绝缘电阻。紧固螺丝并有防松措施，检查变压器防松绑扎并加固。清理灰尘。</w:t>
            </w:r>
          </w:p>
        </w:tc>
        <w:tc>
          <w:tcPr>
            <w:tcW w:w="3468"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33" w:type="dxa"/>
            <w:vMerge w:val="restart"/>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照明器具</w:t>
            </w:r>
          </w:p>
        </w:tc>
        <w:tc>
          <w:tcPr>
            <w:tcW w:w="482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每天：清洁卫生；检查外观、使用状态是否完好，如有异常及时维修、更换；检查灯具照度的均匀度、眩光度、频闪度及电压的变化影 响等情况。</w:t>
            </w:r>
          </w:p>
        </w:tc>
        <w:tc>
          <w:tcPr>
            <w:tcW w:w="3468"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33" w:type="dxa"/>
            <w:vMerge w:val="continue"/>
            <w:noWrap w:val="0"/>
            <w:vAlign w:val="center"/>
          </w:tcPr>
          <w:p>
            <w:pPr>
              <w:adjustRightInd w:val="0"/>
              <w:snapToGrid w:val="0"/>
              <w:spacing w:line="360" w:lineRule="auto"/>
              <w:rPr>
                <w:rFonts w:hint="eastAsia" w:ascii="宋体" w:hAnsi="宋体" w:eastAsia="宋体" w:cs="宋体"/>
                <w:sz w:val="24"/>
                <w:szCs w:val="24"/>
              </w:rPr>
            </w:pPr>
          </w:p>
        </w:tc>
        <w:tc>
          <w:tcPr>
            <w:tcW w:w="482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每月：重复上述内容；调整亮度，节约能源；更换过热配件，避免短路现象；根据季节的变化合理调整灯光工程的开机时间。</w:t>
            </w:r>
          </w:p>
        </w:tc>
        <w:tc>
          <w:tcPr>
            <w:tcW w:w="3468"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3"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防雷系统</w:t>
            </w:r>
          </w:p>
        </w:tc>
        <w:tc>
          <w:tcPr>
            <w:tcW w:w="4829" w:type="dxa"/>
            <w:noWrap w:val="0"/>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每年：对避雷系统定期巡视维护和重点检测，建立各项设备档案；每年检查1次设备接地、各级避雷器。</w:t>
            </w:r>
          </w:p>
        </w:tc>
        <w:tc>
          <w:tcPr>
            <w:tcW w:w="3468" w:type="dxa"/>
            <w:vMerge w:val="continue"/>
            <w:tcBorders>
              <w:bottom w:val="single" w:color="auto" w:sz="4" w:space="0"/>
            </w:tcBorders>
            <w:noWrap w:val="0"/>
            <w:vAlign w:val="center"/>
          </w:tcPr>
          <w:p>
            <w:pPr>
              <w:adjustRightInd w:val="0"/>
              <w:snapToGrid w:val="0"/>
              <w:spacing w:line="360" w:lineRule="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3.服务要求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（1）对全院供电系统高、低压电器设备、电线电缆、电气照明装置等设备正常运行使用进行日常管理和维修。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（2）建立各项供电系统、电器设备档案。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（3）建立、落实配送电运行制度，电气维修制度和配电房管理制度，</w:t>
      </w:r>
      <w:r>
        <w:rPr>
          <w:rFonts w:ascii="Times New Roman" w:hAnsi="Times New Roman" w:eastAsia="宋体" w:cs="Times New Roman"/>
          <w:sz w:val="24"/>
          <w:szCs w:val="20"/>
        </w:rPr>
        <w:t>24</w:t>
      </w:r>
      <w:r>
        <w:rPr>
          <w:rFonts w:hint="eastAsia" w:ascii="Times New Roman" w:hAnsi="Times New Roman" w:eastAsia="宋体" w:cs="Times New Roman"/>
          <w:sz w:val="24"/>
          <w:szCs w:val="20"/>
        </w:rPr>
        <w:t>小时运行维修值班等制度。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（4）及时排除故障，保证供电设施完好。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（5）保证大楼各出入口充电式紧急照明设备完好。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（6）管理和维护好避雷设施。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（7）做好夜景照明、节日灯系统的运行管理。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（8）建立节电措施，设立节约用电提示牌。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Times New Roman" w:hAnsi="Times New Roman" w:eastAsia="宋体" w:cs="Times New Roman"/>
          <w:sz w:val="24"/>
          <w:szCs w:val="20"/>
        </w:rPr>
        <w:t>（9）日常维修材料及设施设备运行维保及年检费用由采购人承担，中标供应商负责配合采购人对维保单位的设施设备维保工作进行维保监督。</w:t>
      </w:r>
    </w:p>
    <w:p>
      <w:pPr>
        <w:spacing w:line="360" w:lineRule="auto"/>
        <w:ind w:firstLine="482" w:firstLineChars="200"/>
        <w:jc w:val="left"/>
        <w:rPr>
          <w:rFonts w:hint="eastAsia" w:ascii="宋体" w:hAnsi="宋体" w:eastAsia="宋体" w:cs="宋体"/>
          <w:b/>
          <w:bCs/>
          <w:sz w:val="24"/>
          <w:szCs w:val="20"/>
          <w:lang w:eastAsia="zh-CN"/>
        </w:rPr>
      </w:pPr>
      <w:r>
        <w:rPr>
          <w:rFonts w:hint="eastAsia" w:ascii="宋体" w:hAnsi="宋体" w:eastAsia="宋体" w:cs="宋体"/>
          <w:b/>
          <w:bCs/>
          <w:sz w:val="24"/>
          <w:szCs w:val="20"/>
        </w:rPr>
        <w:t>（</w:t>
      </w:r>
      <w:r>
        <w:rPr>
          <w:rFonts w:hint="eastAsia" w:ascii="宋体" w:hAnsi="宋体" w:eastAsia="宋体" w:cs="宋体"/>
          <w:b/>
          <w:bCs/>
          <w:sz w:val="24"/>
          <w:szCs w:val="20"/>
          <w:lang w:val="en-US" w:eastAsia="zh-CN"/>
        </w:rPr>
        <w:t>七</w:t>
      </w:r>
      <w:r>
        <w:rPr>
          <w:rFonts w:hint="eastAsia" w:ascii="宋体" w:hAnsi="宋体" w:eastAsia="宋体" w:cs="宋体"/>
          <w:b/>
          <w:bCs/>
          <w:sz w:val="24"/>
          <w:szCs w:val="20"/>
        </w:rPr>
        <w:t>）消防</w:t>
      </w:r>
      <w:r>
        <w:rPr>
          <w:rFonts w:hint="eastAsia" w:ascii="宋体" w:hAnsi="宋体" w:eastAsia="宋体" w:cs="宋体"/>
          <w:b/>
          <w:bCs/>
          <w:sz w:val="24"/>
          <w:szCs w:val="20"/>
          <w:lang w:val="en-US" w:eastAsia="zh-CN"/>
        </w:rPr>
        <w:t>巡查</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1、服务内容</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1.1．消防巡查领班持《职业资格证（建（构）筑物消防员或消防设施操作员）》（四级/中级工或以上）</w:t>
      </w:r>
      <w:r>
        <w:rPr>
          <w:rFonts w:hint="eastAsia" w:ascii="宋体" w:hAnsi="宋体" w:eastAsia="宋体" w:cs="宋体"/>
          <w:sz w:val="24"/>
          <w:szCs w:val="20"/>
          <w:lang w:eastAsia="zh-CN"/>
        </w:rPr>
        <w:t>，</w:t>
      </w:r>
      <w:r>
        <w:rPr>
          <w:rFonts w:hint="eastAsia" w:ascii="宋体" w:hAnsi="宋体" w:eastAsia="宋体" w:cs="宋体"/>
          <w:sz w:val="24"/>
          <w:szCs w:val="20"/>
        </w:rPr>
        <w:t>消防</w:t>
      </w:r>
      <w:r>
        <w:rPr>
          <w:rFonts w:hint="eastAsia" w:ascii="宋体" w:hAnsi="宋体" w:eastAsia="宋体" w:cs="宋体"/>
          <w:sz w:val="24"/>
          <w:szCs w:val="20"/>
          <w:lang w:val="en-US" w:eastAsia="zh-CN"/>
        </w:rPr>
        <w:t>巡查</w:t>
      </w:r>
      <w:r>
        <w:rPr>
          <w:rFonts w:hint="eastAsia" w:ascii="宋体" w:hAnsi="宋体" w:eastAsia="宋体" w:cs="宋体"/>
          <w:sz w:val="24"/>
          <w:szCs w:val="20"/>
        </w:rPr>
        <w:t>运行服务人员应持消防职业资格证书，保证24小时运行；</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1.2．认真做好值班记录和交接班记录，在岗期间禁止从事与工作无关的事情；严格监控消防报警系统，熟练掌握各种消防器材的使用，按照消防法律法规要求，保证消防设备的正常备用；每周对消防器材进行检查，确保使用有效，发现问题，及时上报并做出应急处置，并做好相应的值班记录；</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1.3．制定有效的消防预案，定期进行消防演习，不断完善和补充预案内容，使预案切实可行；</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1.4．制定有效的培训计划及方案，定期组织工作人员进行消防知识培训；</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1.5．运行值班人员做好消防维保资料的汇总及整理工作，对消防设施设备做好台账登记，定期盘点；熟悉消防应急预案的相关程序，熟练掌握火情发生时的消防设施的操作程序并正确操作，及时拨打火警电话；</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1.6．负责做好消防主管部门各项消防检查，确保服务人员证件齐全、值班记录完整、设施设备运行完好，熟练掌握应知应会内容，能够按照检查人员要求进行相关操作，确保消防检查合格；</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1.7．遇有感应报警，必须快速核查，确认误报警后方可消除报警。</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2、服务标准</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2.1．值班人员必须具有高度的工作责任心，认真落实采购人赋予的安全监控任务，及时掌握各种监控信息，对监控过程中发现的情况及时进行处理和上报；</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2.2．值班人员必须严格按照规定时间上下班，不准随意离岗离位，个人需处理事务时须在有人顶岗时方可离开；</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2.3．对可疑情况，及时通知巡逻人员进行跟踪，确保办公楼的治安稳定；每日对消防设施设备进行巡视检查，有巡视检查记录，并对值班登记本保留存档；</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2.4．监控、消防设备维护保养到位，处于良好的运行状态；保证设备齐全、性能良好，运行正常，如遇消防设施设备发生故障或者损坏时，及时报修；</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2.5．消防设施设备及管线无跑、冒、滴、漏现象和无锈蚀，灭火器外观完好，压力正常；</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2.6．每月对灭火器进行性能检查，发现不合格立即报甲方进行维修、更换；因建筑改造、设备检修等情况需要临时停用消防设施，告知当地公安机关消防机构，并采取有效措施确保消防安全；</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2.7．值班室内卫生整洁；值班记录字迹工整、内容详实，交接班工作时遗留问题交代准时、清楚；突发事件处置及时、得当；积极配合消防部门做好消防检查以及维保单位进行消防系统检验工作；着装、站姿、坐姿等符合规定标准；完成上级和采购人安排的其它工作任务。</w:t>
      </w:r>
    </w:p>
    <w:p>
      <w:pPr>
        <w:spacing w:line="360" w:lineRule="auto"/>
        <w:ind w:firstLine="482" w:firstLineChars="200"/>
        <w:jc w:val="left"/>
        <w:rPr>
          <w:rFonts w:hint="eastAsia" w:ascii="宋体" w:hAnsi="宋体" w:eastAsia="宋体" w:cs="宋体"/>
          <w:b/>
          <w:bCs/>
          <w:sz w:val="24"/>
          <w:szCs w:val="20"/>
        </w:rPr>
      </w:pPr>
      <w:r>
        <w:rPr>
          <w:rFonts w:hint="eastAsia" w:ascii="宋体" w:hAnsi="宋体" w:eastAsia="宋体" w:cs="宋体"/>
          <w:b/>
          <w:bCs/>
          <w:sz w:val="24"/>
          <w:szCs w:val="20"/>
        </w:rPr>
        <w:t>（</w:t>
      </w:r>
      <w:r>
        <w:rPr>
          <w:rFonts w:hint="eastAsia" w:ascii="宋体" w:hAnsi="宋体" w:eastAsia="宋体" w:cs="宋体"/>
          <w:b/>
          <w:bCs/>
          <w:sz w:val="24"/>
          <w:szCs w:val="20"/>
          <w:lang w:val="en-US" w:eastAsia="zh-CN"/>
        </w:rPr>
        <w:t>七</w:t>
      </w:r>
      <w:r>
        <w:rPr>
          <w:rFonts w:hint="eastAsia" w:ascii="宋体" w:hAnsi="宋体" w:eastAsia="宋体" w:cs="宋体"/>
          <w:b/>
          <w:bCs/>
          <w:sz w:val="24"/>
          <w:szCs w:val="20"/>
        </w:rPr>
        <w:t>）绿化养护</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1、绿化养护、修剪、打药、除虫、冬季防寒等服务；</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2、绿化养管范围：负责管理辖区内绿化养护服务；</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3、养护内容：定期浇水，养护，树木涂白、肥水管理、整形修剪、病虫害防治、中耕除草、环境卫生及日常管护等内容；</w:t>
      </w:r>
    </w:p>
    <w:p>
      <w:pPr>
        <w:spacing w:line="360" w:lineRule="auto"/>
        <w:ind w:firstLine="480" w:firstLineChars="200"/>
        <w:jc w:val="left"/>
        <w:rPr>
          <w:rFonts w:hint="eastAsia" w:ascii="宋体" w:hAnsi="宋体" w:eastAsia="宋体" w:cs="宋体"/>
          <w:sz w:val="24"/>
          <w:szCs w:val="20"/>
        </w:rPr>
      </w:pPr>
      <w:r>
        <w:rPr>
          <w:rFonts w:hint="eastAsia" w:ascii="宋体" w:hAnsi="宋体" w:eastAsia="宋体" w:cs="宋体"/>
          <w:sz w:val="24"/>
          <w:szCs w:val="20"/>
        </w:rPr>
        <w:t>4、养护标准：在服务期内对树木、地被、景观设施全程养护管理，达到三个100%的养护管理目标，即：服务期内保证各种树木健康成长，树木保存率达到100%；按时做好施肥、浇灌、病虫害防治、涂白、修剪、杂草杂物清理、防火等日常养护管理，树木成活率达到100%；养护管理验收合格率力争达到100%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lang w:val="en-US" w:eastAsia="zh-CN"/>
        </w:rPr>
        <w:t>四</w:t>
      </w:r>
      <w:r>
        <w:rPr>
          <w:rFonts w:hint="eastAsia" w:ascii="Times New Roman" w:hAnsi="Times New Roman" w:eastAsia="宋体" w:cs="Times New Roman"/>
          <w:b/>
          <w:bCs/>
          <w:sz w:val="24"/>
          <w:szCs w:val="20"/>
        </w:rPr>
        <w:t>、应急服务要求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当出现不可预知紧急情况时（例如停水停电、极端天气、群体事件、自然灾害等），保证服务正常运转的措施，包括但不限于临时增配人员、临时调集设备、现有人员岗位职责临时增加、与相关政府部门协调配合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lang w:val="en-US" w:eastAsia="zh-CN"/>
        </w:rPr>
        <w:t>五</w:t>
      </w:r>
      <w:r>
        <w:rPr>
          <w:rFonts w:hint="eastAsia" w:ascii="Times New Roman" w:hAnsi="Times New Roman" w:eastAsia="宋体" w:cs="Times New Roman"/>
          <w:b/>
          <w:bCs/>
          <w:sz w:val="24"/>
          <w:szCs w:val="20"/>
        </w:rPr>
        <w:t>、人员保密要求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保证服务过程中有可能获取的保密信息不泄露的措施，包括但不限于制定保密制度、服务人员保密培训、重点岗位双人服务、泄密惩罚办法。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lang w:val="en-US" w:eastAsia="zh-CN"/>
        </w:rPr>
        <w:t>六</w:t>
      </w:r>
      <w:r>
        <w:rPr>
          <w:rFonts w:hint="eastAsia" w:ascii="Times New Roman" w:hAnsi="Times New Roman" w:eastAsia="宋体" w:cs="Times New Roman"/>
          <w:b/>
          <w:bCs/>
          <w:sz w:val="24"/>
          <w:szCs w:val="20"/>
        </w:rPr>
        <w:t>、人员稳定性要求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在整个服务期内，人员更换率不得超过</w:t>
      </w:r>
      <w:r>
        <w:rPr>
          <w:rFonts w:hint="eastAsia" w:ascii="Times New Roman" w:hAnsi="Times New Roman" w:eastAsia="宋体" w:cs="Times New Roman"/>
          <w:sz w:val="24"/>
          <w:szCs w:val="20"/>
          <w:lang w:val="en-US" w:eastAsia="zh-CN"/>
        </w:rPr>
        <w:t>3</w:t>
      </w:r>
      <w:r>
        <w:rPr>
          <w:rFonts w:hint="eastAsia" w:ascii="Times New Roman" w:hAnsi="Times New Roman" w:eastAsia="宋体" w:cs="Times New Roman"/>
          <w:sz w:val="24"/>
          <w:szCs w:val="20"/>
        </w:rPr>
        <w:t>0%，更换人员不得低于采购需求，且应经采购人同意。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lang w:val="en-US" w:eastAsia="zh-CN"/>
        </w:rPr>
        <w:t>七</w:t>
      </w:r>
      <w:r>
        <w:rPr>
          <w:rFonts w:hint="eastAsia" w:ascii="Times New Roman" w:hAnsi="Times New Roman" w:eastAsia="宋体" w:cs="Times New Roman"/>
          <w:b/>
          <w:bCs/>
          <w:sz w:val="24"/>
          <w:szCs w:val="20"/>
        </w:rPr>
        <w:t>、进驻和接管要求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成交后，及时配齐所需人员、工具、设备等，在规定的时间内保证全体服务人员按时进场服务，如果为新任服务公司，则还需与前任公司进行交接，保留相关记录，做到服务平稳过渡，对采购人工作无不良影响。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lang w:val="en-US" w:eastAsia="zh-CN"/>
        </w:rPr>
        <w:t>八</w:t>
      </w:r>
      <w:r>
        <w:rPr>
          <w:rFonts w:hint="eastAsia" w:ascii="Times New Roman" w:hAnsi="Times New Roman" w:eastAsia="宋体" w:cs="Times New Roman"/>
          <w:b/>
          <w:bCs/>
          <w:sz w:val="24"/>
          <w:szCs w:val="20"/>
        </w:rPr>
        <w:t>、费用分割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物业服务人员的服装由成交供应商负责，物业服务中使用的工具、耗材、维修更换的零配件中单品单价500元以内的由成交供应商提供，</w:t>
      </w:r>
      <w:r>
        <w:rPr>
          <w:rFonts w:hint="eastAsia" w:ascii="Times New Roman" w:hAnsi="Times New Roman" w:eastAsia="宋体" w:cs="Times New Roman"/>
          <w:sz w:val="24"/>
          <w:szCs w:val="20"/>
          <w:lang w:eastAsia="zh-CN"/>
        </w:rPr>
        <w:t>报价参考</w:t>
      </w:r>
      <w:r>
        <w:rPr>
          <w:rFonts w:hint="eastAsia" w:ascii="Times New Roman" w:hAnsi="Times New Roman" w:eastAsia="宋体" w:cs="Times New Roman"/>
          <w:sz w:val="24"/>
          <w:szCs w:val="20"/>
          <w:lang w:val="en-US" w:eastAsia="zh-CN"/>
        </w:rPr>
        <w:t>100000元/年，费用发生前须与采购人进行确认，超出</w:t>
      </w:r>
      <w:r>
        <w:rPr>
          <w:rFonts w:hint="eastAsia" w:ascii="Times New Roman" w:hAnsi="Times New Roman" w:eastAsia="宋体" w:cs="Times New Roman"/>
          <w:sz w:val="24"/>
          <w:szCs w:val="20"/>
        </w:rPr>
        <w:t>由采购人</w:t>
      </w:r>
      <w:r>
        <w:rPr>
          <w:rFonts w:hint="eastAsia" w:ascii="Times New Roman" w:hAnsi="Times New Roman" w:eastAsia="宋体" w:cs="Times New Roman"/>
          <w:sz w:val="24"/>
          <w:szCs w:val="20"/>
          <w:lang w:val="en-US" w:eastAsia="zh-CN"/>
        </w:rPr>
        <w:t>承担</w:t>
      </w:r>
      <w:r>
        <w:rPr>
          <w:rFonts w:hint="eastAsia" w:ascii="Times New Roman" w:hAnsi="Times New Roman" w:eastAsia="宋体" w:cs="Times New Roman"/>
          <w:sz w:val="24"/>
          <w:szCs w:val="20"/>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绿化所需水费由采购人承担，绿化所需药剂由成交供应商提供。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采购方不提供物业服务人员住宿和伙食。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采购方免费提供10平方米的物业用房以及提供办公桌椅电话等办公用品</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eastAsia="宋体"/>
          <w:sz w:val="24"/>
          <w:lang w:eastAsia="zh-CN"/>
        </w:rPr>
      </w:pPr>
      <w:r>
        <w:rPr>
          <w:rFonts w:hint="eastAsia" w:ascii="Times New Roman" w:hAnsi="Times New Roman" w:eastAsia="宋体" w:cs="Times New Roman"/>
          <w:sz w:val="24"/>
          <w:szCs w:val="20"/>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pStyle w:val="11"/>
        <w:rPr>
          <w:rFonts w:ascii="Times New Roman" w:hAnsi="Times New Roman"/>
          <w:lang w:val="en-US"/>
        </w:rPr>
        <w:sectPr>
          <w:headerReference r:id="rId6"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rPr>
      </w:pPr>
      <w:r>
        <w:rPr>
          <w:rFonts w:ascii="Times New Roman" w:hAnsi="Times New Roman"/>
        </w:rPr>
        <w:t>第三部分  供应商须知</w:t>
      </w:r>
      <w:bookmarkEnd w:id="1"/>
    </w:p>
    <w:p>
      <w:pPr>
        <w:pStyle w:val="28"/>
        <w:spacing w:line="360" w:lineRule="auto"/>
        <w:jc w:val="center"/>
        <w:rPr>
          <w:rFonts w:ascii="Times New Roman" w:hAnsi="Times New Roman" w:eastAsia="宋体" w:cs="Times New Roman"/>
          <w:color w:val="auto"/>
        </w:rPr>
      </w:pPr>
      <w:bookmarkStart w:id="4" w:name="_Toc411426751"/>
    </w:p>
    <w:p>
      <w:pPr>
        <w:pStyle w:val="28"/>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A  说明</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概述</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根据《中华人民共和国政府采购法》、《中华人民共和国政府采购法实施条例》等有关法律、法规和规章的规定，本采购项目已具备竞争性磋商条件。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本竞争性磋商文件仅适用于磋商邀请函中所叙述项目货物和服务的采购。</w:t>
      </w:r>
    </w:p>
    <w:p>
      <w:pPr>
        <w:pStyle w:val="28"/>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参与磋商活动的所有各方，对在参与磋商过程中获悉的国家、商业和技术秘密以及其它依法应当保密的内容，均负有保密义务，违者应对由此造成的后果承担全部法律责任。</w:t>
      </w:r>
    </w:p>
    <w:p>
      <w:pPr>
        <w:pStyle w:val="28"/>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定义</w:t>
      </w:r>
    </w:p>
    <w:p>
      <w:pPr>
        <w:pStyle w:val="28"/>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“采购人”系指本次磋商活动的采购单位。“采购代理机构”系指组织本次磋商活动的机构，即“天津市政府采购中心”。</w:t>
      </w:r>
    </w:p>
    <w:p>
      <w:pPr>
        <w:pStyle w:val="28"/>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“投标人”系指向采购代理机构提交响应文件的供应商。</w:t>
      </w:r>
    </w:p>
    <w:p>
      <w:pPr>
        <w:pStyle w:val="28"/>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3. “服务”系指按本竞争性磋商文件规定供应商须承担的相关服务和竞争性磋商文件中规定供应商应承担的相关义务。</w:t>
      </w:r>
    </w:p>
    <w:p>
      <w:pPr>
        <w:pStyle w:val="28"/>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 解释权</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本次磋商的最终解释权归为采购人、采购代理机构。</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本文件未作须知明示，而又有相关法律、法规规定的，采购人、采购代理机构将对此解释为依据有关法律、法规的规定。</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合格的投标人</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符合《中华人民共和国政府采购法》第二十二条供应商参加政府采购活动应当具备的条件及其他有关法律、法规关于供应商的有关规定，有能力提供磋商采购货物及服务的供应商。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4.2 符合《磋商邀请函》中关于供应商资格要求（实质性要求）的规定。</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4.3 关于联合体参与磋商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《磋商邀请函》接受联合体参与磋商的：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（1）两个以上的自然人、法人或者其他组织可以组成一个联合体，以一个供应商的身份共同参加政府采购。</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（3）联合体各方之间应当签订共同投标协议并在响应文件内提交，明确约定联合体主体及联合体各方承担的工作和相应的责任。联合体各方签订共同投标协议后，</w:t>
      </w:r>
      <w:r>
        <w:rPr>
          <w:rFonts w:ascii="Times New Roman" w:hAnsi="Times New Roman" w:eastAsia="宋体" w:cs="Times New Roman"/>
        </w:rPr>
        <w:t>不得再以自己名义单独在</w:t>
      </w:r>
      <w:r>
        <w:rPr>
          <w:rFonts w:hint="eastAsia" w:ascii="Times New Roman" w:hAnsi="Times New Roman" w:eastAsia="宋体" w:cs="Times New Roman"/>
        </w:rPr>
        <w:t>同一合同项下</w:t>
      </w:r>
      <w:r>
        <w:rPr>
          <w:rFonts w:ascii="Times New Roman" w:hAnsi="Times New Roman" w:eastAsia="宋体" w:cs="Times New Roman"/>
        </w:rPr>
        <w:t>投标，也不得组成新的联合体参加同一</w:t>
      </w:r>
      <w:r>
        <w:rPr>
          <w:rFonts w:hint="eastAsia" w:ascii="Times New Roman" w:hAnsi="Times New Roman" w:eastAsia="宋体" w:cs="Times New Roman"/>
        </w:rPr>
        <w:t>合同</w:t>
      </w:r>
      <w:r>
        <w:rPr>
          <w:rFonts w:ascii="Times New Roman" w:hAnsi="Times New Roman" w:eastAsia="宋体" w:cs="Times New Roman"/>
        </w:rPr>
        <w:t>项下的投标。</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w:t>
      </w:r>
      <w:r>
        <w:rPr>
          <w:rFonts w:hint="eastAsia" w:ascii="宋体" w:hAnsi="宋体" w:eastAsia="宋体" w:cs="Times New Roman"/>
        </w:rPr>
        <w:t>下载竞争性磋商文件时，应以联合体协议中确定的主体方名义下载。</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（5）联合体参与磋商的，应以主体方名义提交投标保证金（如有），对联合体各方均具有约束力。</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cs="Times New Roman"/>
        </w:rPr>
        <w:t>（7）联合体中任意一方为中小企业的，该方应提供《中小企业声明函》。</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（8）联合体各方应当共同与采购人签订采购合同，就采购合同约定的事项对采购人承担连带责任。</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4.4 关于关联企业</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除联合体外，法定代表人或单位负责人为同一个人或者存在直接控股、管理关系的不同供应商，</w:t>
      </w:r>
      <w:r>
        <w:rPr>
          <w:rFonts w:ascii="Times New Roman" w:hAnsi="Times New Roman" w:eastAsia="宋体" w:cs="Times New Roman"/>
        </w:rPr>
        <w:t>不得同时参加同一</w:t>
      </w:r>
      <w:r>
        <w:rPr>
          <w:rFonts w:hint="eastAsia" w:ascii="Times New Roman" w:hAnsi="Times New Roman" w:eastAsia="宋体" w:cs="Times New Roman"/>
        </w:rPr>
        <w:t>合同</w:t>
      </w:r>
      <w:r>
        <w:rPr>
          <w:rFonts w:ascii="Times New Roman" w:hAnsi="Times New Roman" w:eastAsia="宋体" w:cs="Times New Roman"/>
        </w:rPr>
        <w:t>项下的投标</w:t>
      </w:r>
      <w:r>
        <w:rPr>
          <w:rFonts w:hint="eastAsia" w:ascii="Times New Roman" w:hAnsi="Times New Roman" w:eastAsia="宋体" w:cs="Times New Roman"/>
          <w:color w:val="auto"/>
        </w:rPr>
        <w:t>。如同时参加，则评审时将同时被拒绝。</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4.5 关于分公司参与磋商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5" w:name="OLE_LINK5"/>
      <w:bookmarkStart w:id="6" w:name="OLE_LINK6"/>
      <w:r>
        <w:rPr>
          <w:rFonts w:hint="eastAsia" w:ascii="Times New Roman" w:hAnsi="Times New Roman" w:eastAsia="宋体" w:cs="Times New Roman"/>
          <w:color w:val="auto"/>
        </w:rPr>
        <w:t>物业管理条例</w:t>
      </w:r>
      <w:bookmarkEnd w:id="5"/>
      <w:bookmarkEnd w:id="6"/>
      <w:r>
        <w:rPr>
          <w:rFonts w:hint="eastAsia" w:ascii="Times New Roman" w:hAnsi="Times New Roman" w:eastAsia="宋体" w:cs="Times New Roman"/>
          <w:color w:val="auto"/>
        </w:rPr>
        <w:t>》第三十二条的规定“从事物业管理活动的企业应当具有独立的法人资格”，因此本项目不接受分公司投标。</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4.6 关于提供前期服务的供应商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4.7 关于中小微企业参与磋商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中小微企业是指符合《政府采购促进中小企业发展管理办法》（财库[2020]46号）规定的供应商。中小微企业参与磋商应提供《中小企业声明函》。</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cs="Times New Roman"/>
          <w:color w:val="auto"/>
          <w:szCs w:val="21"/>
        </w:rPr>
        <w:t>根据《财政部 民政部 中国残疾人联合会关于促进残疾人就业政府采购政策的通知》（财库〔2017〕141号）的规定，残疾人福利性单位视同为小型、微型企业。</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合格的货物和相关服务</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5.2 除《磋商项目需求》有特殊规定外，投标人提供的货物应当是全新的、未使用过的，货物和相关服务应当符合竞争性磋商文件的要求，并且其质量完全符合国家标准、行业标准或地方标准。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投标人应当说明投标货物的来源地，如投标的货物非投标人生产或制造的，则交货时有义务提供其从合法途径获得该货物的相关证明。</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5.4 系统软件、通用软件必须是具有在中国境内的合法使用权或版权的正版软件，涉及到第三方提出侵权或知识产权的起诉及支付版税等费用由投标人承担所有责任及费用。</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 投标费用</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无论投标过程中的做法和结果如何，投标人自行承担所有与参加磋商有关的费用。</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 信息发布</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auto"/>
        </w:rPr>
        <w:t>天津政府采购网（http://tjgp.cz.tj.gov.cn）</w:t>
      </w:r>
      <w:r>
        <w:rPr>
          <w:rFonts w:hint="eastAsia" w:ascii="Times New Roman" w:hAnsi="Times New Roman" w:eastAsia="宋体" w:cs="Times New Roman"/>
          <w:color w:val="auto"/>
        </w:rPr>
        <w:t>”和“</w:t>
      </w:r>
      <w:r>
        <w:rPr>
          <w:rFonts w:ascii="Times New Roman" w:hAnsi="Times New Roman" w:eastAsia="宋体" w:cs="Times New Roman"/>
          <w:color w:val="auto"/>
        </w:rPr>
        <w:t>天津政府采购</w:t>
      </w:r>
      <w:r>
        <w:rPr>
          <w:rFonts w:hint="eastAsia" w:ascii="Times New Roman" w:hAnsi="Times New Roman" w:eastAsia="宋体" w:cs="Times New Roman"/>
          <w:color w:val="auto"/>
        </w:rPr>
        <w:t>中心</w:t>
      </w:r>
      <w:r>
        <w:rPr>
          <w:rFonts w:ascii="Times New Roman" w:hAnsi="Times New Roman" w:eastAsia="宋体" w:cs="Times New Roman"/>
          <w:color w:val="auto"/>
        </w:rPr>
        <w:t>网（http://tjgpc.zwfwb.tj.gov.cn）</w:t>
      </w:r>
      <w:r>
        <w:rPr>
          <w:rFonts w:hint="eastAsia" w:ascii="Times New Roman" w:hAnsi="Times New Roman" w:eastAsia="宋体" w:cs="Times New Roman"/>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auto"/>
        </w:rPr>
        <w:t>承担由此可能产生的风险。</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 其他</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本《供应商须知》的条款如与《磋商邀请函》、《磋商项目需求》就同一内容的表述不一致的，以《磋商邀请函》、《磋商项目需求》中规定的内容为准。</w:t>
      </w:r>
    </w:p>
    <w:p>
      <w:pPr>
        <w:pStyle w:val="28"/>
        <w:spacing w:line="360" w:lineRule="auto"/>
        <w:ind w:firstLine="480" w:firstLineChars="200"/>
        <w:jc w:val="both"/>
        <w:rPr>
          <w:rFonts w:ascii="Times New Roman" w:hAnsi="Times New Roman" w:eastAsia="宋体" w:cs="Times New Roman"/>
          <w:color w:val="auto"/>
        </w:rPr>
      </w:pPr>
    </w:p>
    <w:p>
      <w:pPr>
        <w:pStyle w:val="28"/>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B  竞争性磋商文件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 竞争性磋商文件的构成</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10.1 竞争性磋商文件由下述部分组成：</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（1）磋商邀请函；</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（2）磋商项目要求；</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（3）供应商须知；</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（4）合同草案；</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（5）响应文件格式；</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（6）竞争性磋商文件的更正公告内容（如有）。</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10.2 除非有特殊要求，竞争性磋商文件不单独提供磋商项目使用地的自然环境、气候条件、公用设施等情况，投标人被视为熟悉上述与履行合同有关的一切情况。</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《磋商项目需求》加注“★”号条款为实质性技术条款，不得出现负偏离，发生负偏离即做无效标处理。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10.4 竞争性磋商文件中涉及的参照品牌、型号仅起说明作用，并没有任何限制性，投标人在投标中可以选用其他替代品牌或型号，但这些替代要实质上优于或相当于磋商要求。</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10.5 除竞争性磋商文件另有规定外，竞争性磋商文件中要求的每一项产品只允许一种产品投标，每一项产品的采购数量不允许变更。</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竞争性磋商文件的澄清和修改</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11.1 提交首次响应文件截止之日前，采购人、采购代理机构需要对磋商文件进行补充或修改的，采购人、采购代理机构将会通过“天津市政府采购网”、“天津市政府采购中心网”以更正公告形式发布。</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11.4 更正公告的内容为竞争性磋商文件的组成部分。当竞争性磋商文件与更正公告就同一内容的表述不一致时，以最后发出的更正公告内容为准。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答疑会和踏勘现场</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12.1 采购人、采购代理机构召开答疑会的，所有投标人应按《磋商邀请函》规定的时间、地点参加答疑会。投标人如不参加，其风险由投标人自行承担，采购人、采购代理机构不承担任何责任。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12.2 采购人、采购代理机构组织踏勘现场的，所有投标人按《磋商邀请函》规定的时间、地点参加踏勘现场活动。投标人如不参加，其风险由投标人自行承担，采购人、采购代理机构不承担任何责任。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28"/>
        <w:spacing w:line="360" w:lineRule="auto"/>
        <w:ind w:firstLine="480" w:firstLineChars="200"/>
        <w:jc w:val="both"/>
        <w:rPr>
          <w:rFonts w:ascii="Times New Roman" w:hAnsi="Times New Roman" w:eastAsia="宋体" w:cs="Times New Roman"/>
          <w:color w:val="auto"/>
        </w:rPr>
      </w:pPr>
    </w:p>
    <w:p>
      <w:pPr>
        <w:pStyle w:val="28"/>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C  响应文件的编制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要求</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13.2 投标人应根据磋商项目需求和响应文件格式编制响应文件，保证其真实有效，并承担相应的法律责任。</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 投标语言及计量单位</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14.2 除竞争性磋商文件中另有规定外，响应文件所使用的计量单位均应使用中华人民共和国法定计量单位。</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 响应文件格式</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15.1 投标人应按竞争性磋商文件第五部分提供的响应文件格式完整填写。因不按要求编制而引起系统无法检索、读取相关信息时，其后果由投标人自行承担。</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15.2 投标人可对本竞争性磋商文件“磋商项目要求”所列的所有货物进行投标，也可只对其中一包或几包的货物投标；若无特殊说明，每一包的内容不得分项投标，原则上按照整包确定成交供应商。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如投标多个包的，要求按包分别独立制作响应文件。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15.4 响应文件（包括封面和目录）的每一页，从封面开始按阿拉伯数字1、2、3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顺序编制页码。</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 响应文件的组成</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16.1 按照《磋商邀请函》规定的时间分别上传加盖电子签章的两阶段电子响应文件。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 报价</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17.1 报价书、报价分项一览表等各表中的报价，若无特殊说明应采用人民币填报。</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17.2 报价是</w:t>
      </w:r>
      <w:r>
        <w:rPr>
          <w:rFonts w:hint="eastAsia"/>
          <w:color w:val="auto"/>
        </w:rPr>
        <w:t>为完成竞争性磋商文件规定的一切工作所需的全部费用的最终优惠价格。</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17.3 除《磋商项目需求》中说明并允许外，投标的每一个货物、服务的单项报价以及采购项目的投标总价均只允许有一个报价，任何有选择的报价，采购人、采购代理机构均将予以拒绝。</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18. 投标人资格证明文件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投标人必须提交证明其有资格进行投标和有能力履行合同的文件，作为响应文件的一部分。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（1）《磋商邀请函》中规定的供应商资格要求（实质性要求）证明文件；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（2）若国家及行业对投标项目有特殊资格要求的，还须提供特殊资格证明文件；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（3）涉及本须知中“4. 合格的投标人”相关要求的，按其要求执行。</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 技术响应文件</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19.1 投标人须提交证明其拟供货物符合竞争性磋商文件规定的技术响应文件，作为响应文件的一部分。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19.2 上述文件可以是文字资料、图纸或数据，并须提供：</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（1）货物主要技术性能的详细描述；</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（2）保证货物从采购人开始使用至竞争性磋商文件规定的保修期内正常和连续运转期间所需要的所有备件和专用工具的详细清单，包括其现行价格和供货来源资料；</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逐条对竞争性磋商文件要求的技术规格进行评议，并按竞争性磋商文件所附格式完整地填写《技术要求点对点应答表》，说明自己所投标的货物和相关服务内容与采购人、采购代理机构相应要求的偏离情况。</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 投标保证金</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20.1 按照《磋商项目需求》要求执行。</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 符合《政府采购法实施条例》和《政府采购竞争性磋商采购方式管理暂行办法》相关规定。</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磋商有效期</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21.1 磋商有效期为响应文件开启之日起60天。响应书中规定的有效期短于竞争性磋商文件规定的，其投标将被拒绝。</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响应文件的签署及规定</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22.2 投标人按照《磋商邀请函》的要求提交网上应答并分别</w:t>
      </w:r>
      <w:r>
        <w:rPr>
          <w:rFonts w:hint="eastAsia" w:ascii="Times New Roman" w:hAnsi="Times New Roman" w:cs="Times New Roman" w:eastAsiaTheme="minorEastAsia"/>
          <w:color w:val="auto"/>
          <w:szCs w:val="32"/>
        </w:rPr>
        <w:t>上传加盖电子签章的第一、第二阶段电子响应文件（PDF格式）</w:t>
      </w:r>
      <w:r>
        <w:rPr>
          <w:rFonts w:hint="eastAsia" w:ascii="Times New Roman" w:hAnsi="Times New Roman" w:eastAsia="宋体" w:cs="Times New Roman"/>
          <w:color w:val="auto"/>
        </w:rPr>
        <w:t>（以通过天津公共资源电子签章客户端正确读取签章信息为准）。加盖电子签章的电子响应文件应与网上应答填报内容一致。</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22.3 响应文件因模糊不清或表达不清所引起的后果由投标人自负。</w:t>
      </w:r>
    </w:p>
    <w:p>
      <w:pPr>
        <w:pStyle w:val="28"/>
        <w:spacing w:line="360" w:lineRule="auto"/>
        <w:jc w:val="center"/>
        <w:rPr>
          <w:rFonts w:ascii="Times New Roman" w:hAnsi="Times New Roman" w:eastAsia="宋体" w:cs="Times New Roman"/>
          <w:color w:val="auto"/>
        </w:rPr>
      </w:pPr>
    </w:p>
    <w:p>
      <w:pPr>
        <w:pStyle w:val="28"/>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D  响应文件的网上应答和提交</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市级集采机构入口”，使用天津数字认证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应答上传提交。</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 制作和上传电子响应文件要求</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24.1 投标人须下载天津市政府采购中心网-下载中心-《天津公共资源电子签章客户端安装包及使用说明》。</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24.2 投标人须按照竞争性磋商文件的规定制作电子响应文件，对所需提供的一切纸质材料进行扫描后加入电子响应文件，按照《天津公共资源电子签章客户端安装包及使用说明》规定的要求制作加盖投标人电子签章的PDF格式电子响应文件（以通过天津公共资源电子签章客户端正确读取签章信息为准），并于投标截止时间前上传至天津市政府采购中心招投标系统。</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pPr>
        <w:pStyle w:val="28"/>
        <w:spacing w:line="360" w:lineRule="auto"/>
        <w:ind w:firstLine="480" w:firstLineChars="200"/>
        <w:rPr>
          <w:rFonts w:hint="eastAsia"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天津公共资源电子签章客户端安装包及使用说明》要求的文件检查方法进行检查，确保响应文件上传准确、有效。</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24.3 投标人应保证电子响应文件清晰，便于识别，如因上传、扫描、格式等原因导致评审时受到影响，由投标人自行承担相应责任。</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24.4 未按规定提交网上应答和上传加盖电子签章的电子响应文件的投标将被拒绝。</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25. 投标人须承诺接受电子投标的方式，并自行承担由此带来的废标、无效投标的风险。</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 未按竞争性磋商文件的规定提交网上应答和上传加盖投标人电子签章的PDF格式电子响应文件（以通过天津公共资源电子签章客户端正确读取签章信息为准）的投标将被拒绝。</w:t>
      </w:r>
    </w:p>
    <w:p>
      <w:pPr>
        <w:pStyle w:val="28"/>
        <w:spacing w:line="360" w:lineRule="auto"/>
        <w:ind w:firstLine="480" w:firstLineChars="200"/>
        <w:jc w:val="both"/>
        <w:rPr>
          <w:rFonts w:ascii="Times New Roman" w:hAnsi="Times New Roman" w:eastAsia="宋体" w:cs="Times New Roman"/>
          <w:color w:val="auto"/>
        </w:rPr>
      </w:pPr>
    </w:p>
    <w:p>
      <w:pPr>
        <w:pStyle w:val="28"/>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E  磋商程序</w:t>
      </w:r>
    </w:p>
    <w:p>
      <w:pPr>
        <w:pStyle w:val="28"/>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27. </w:t>
      </w:r>
      <w:r>
        <w:rPr>
          <w:rFonts w:hint="eastAsia" w:ascii="Times New Roman" w:hAnsi="Times New Roman" w:eastAsia="宋体" w:cs="Times New Roman"/>
          <w:color w:val="auto"/>
        </w:rPr>
        <w:t>磋商步骤</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27.1 </w:t>
      </w:r>
      <w:r>
        <w:rPr>
          <w:rFonts w:hint="eastAsia" w:ascii="Times New Roman" w:hAnsi="Times New Roman" w:eastAsia="宋体" w:cs="Times New Roman"/>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磋商小组要求供应商澄清、说明或者更正响应文件应当以书面形式做出。</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注：供应商法定代表人或其磋商代表人须携带身份证或其他有效身份证明原件参加磋商。</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27.2 </w:t>
      </w:r>
      <w:r>
        <w:rPr>
          <w:rFonts w:hint="eastAsia" w:ascii="Times New Roman" w:hAnsi="Times New Roman" w:eastAsia="宋体" w:cs="Times New Roman"/>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对磋商文件做出的实质性变动是磋商文件的有效组成部分，磋商小组应当及时以书面形式同时通知所有参加磋商的供应商。</w:t>
      </w:r>
    </w:p>
    <w:p>
      <w:pPr>
        <w:pStyle w:val="28"/>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供应商应当按照磋商文件的变动情况和磋商小组的要求重新提交响应文件，应为</w:t>
      </w:r>
      <w:r>
        <w:rPr>
          <w:rFonts w:ascii="Times New Roman" w:hAnsi="Times New Roman" w:eastAsia="宋体" w:cs="Times New Roman"/>
          <w:color w:val="auto"/>
          <w:kern w:val="2"/>
        </w:rPr>
        <w:t>PDF</w:t>
      </w:r>
      <w:r>
        <w:rPr>
          <w:rFonts w:hint="eastAsia" w:ascii="Times New Roman" w:hAnsi="Times New Roman" w:eastAsia="宋体" w:cs="Times New Roman"/>
          <w:color w:val="auto"/>
          <w:kern w:val="2"/>
        </w:rPr>
        <w:t>格式且加盖电子签章</w:t>
      </w:r>
      <w:r>
        <w:rPr>
          <w:rFonts w:hint="eastAsia" w:ascii="Times New Roman" w:hAnsi="Times New Roman" w:eastAsia="宋体" w:cs="Times New Roman"/>
          <w:color w:val="auto"/>
        </w:rPr>
        <w:t>后于磋商小组规定的时间内通过天津市政府采购中心招投标系统“询标解答”上传至天津市政府采购中心招投标系统。</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未实质性响应磋商文件的响应文件按无效响应处理，磋商小组应当告知提交响应文件的供应商。</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27.3 </w:t>
      </w:r>
      <w:r>
        <w:rPr>
          <w:rFonts w:hint="eastAsia" w:ascii="Times New Roman" w:hAnsi="Times New Roman" w:eastAsia="宋体" w:cs="Times New Roman"/>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27.4 </w:t>
      </w:r>
      <w:r>
        <w:rPr>
          <w:rFonts w:hint="eastAsia" w:ascii="Times New Roman" w:hAnsi="Times New Roman" w:eastAsia="宋体" w:cs="Times New Roman"/>
          <w:color w:val="auto"/>
        </w:rPr>
        <w:t>第四步：经磋商确定最终采购需求和提交最后报价的供应商后，由磋商小组采用综合评分法对提交最后报价的供应商的响应文件和最后报价进行综合评分。</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27.5 </w:t>
      </w:r>
      <w:r>
        <w:rPr>
          <w:rFonts w:hint="eastAsia" w:ascii="Times New Roman" w:hAnsi="Times New Roman" w:eastAsia="宋体" w:cs="Times New Roman"/>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27.6 </w:t>
      </w:r>
      <w:r>
        <w:rPr>
          <w:rFonts w:hint="eastAsia" w:ascii="Times New Roman" w:hAnsi="Times New Roman" w:eastAsia="宋体" w:cs="Times New Roman"/>
          <w:color w:val="auto"/>
        </w:rPr>
        <w:t>出现下列情形之一的，采购人或者采购代理机构应当终止竞争性磋商采购活动，发布项目终止公告并说明原因，重新开展采购活动：</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1</w:t>
      </w:r>
      <w:r>
        <w:rPr>
          <w:rFonts w:hint="eastAsia" w:ascii="Times New Roman" w:hAnsi="Times New Roman" w:eastAsia="宋体" w:cs="Times New Roman"/>
          <w:color w:val="auto"/>
        </w:rPr>
        <w:t>）因情况变化，不再符合规定的竞争性磋商采购方式适用情形的；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2</w:t>
      </w:r>
      <w:r>
        <w:rPr>
          <w:rFonts w:hint="eastAsia" w:ascii="Times New Roman" w:hAnsi="Times New Roman" w:eastAsia="宋体" w:cs="Times New Roman"/>
          <w:color w:val="auto"/>
        </w:rPr>
        <w:t>）出现影响采购公正的违法、违规行为的；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3</w:t>
      </w:r>
      <w:r>
        <w:rPr>
          <w:rFonts w:hint="eastAsia" w:ascii="Times New Roman" w:hAnsi="Times New Roman" w:eastAsia="宋体" w:cs="Times New Roman"/>
          <w:color w:val="auto"/>
        </w:rPr>
        <w:t>）除《政府采购竞争性磋商采购方式管理暂行办法》第二十一条第三款规定的情形外，在采购过程中符合要求的供应商或者报价未超过采购预算的供应商不足</w:t>
      </w:r>
      <w:r>
        <w:rPr>
          <w:rFonts w:ascii="Times New Roman" w:hAnsi="Times New Roman" w:eastAsia="宋体" w:cs="Times New Roman"/>
          <w:color w:val="auto"/>
        </w:rPr>
        <w:t>3</w:t>
      </w:r>
      <w:r>
        <w:rPr>
          <w:rFonts w:hint="eastAsia" w:ascii="Times New Roman" w:hAnsi="Times New Roman" w:eastAsia="宋体" w:cs="Times New Roman"/>
          <w:color w:val="auto"/>
        </w:rPr>
        <w:t>家的。</w:t>
      </w:r>
    </w:p>
    <w:p>
      <w:pPr>
        <w:pStyle w:val="28"/>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27.7 </w:t>
      </w:r>
      <w:r>
        <w:rPr>
          <w:rFonts w:hint="eastAsia" w:ascii="Times New Roman" w:hAnsi="Times New Roman" w:eastAsia="宋体" w:cs="Times New Roman"/>
          <w:color w:val="auto"/>
        </w:rPr>
        <w:t>根据《财政部关于政府采购竞争性磋商采购方式管理暂行办法有关问题的补充通知》（财库〔</w:t>
      </w:r>
      <w:r>
        <w:rPr>
          <w:rFonts w:ascii="Times New Roman" w:hAnsi="Times New Roman" w:eastAsia="宋体" w:cs="Times New Roman"/>
          <w:color w:val="auto"/>
        </w:rPr>
        <w:t>2015</w:t>
      </w:r>
      <w:r>
        <w:rPr>
          <w:rFonts w:hint="eastAsia" w:ascii="Times New Roman" w:hAnsi="Times New Roman" w:eastAsia="宋体" w:cs="Times New Roman"/>
          <w:color w:val="auto"/>
        </w:rPr>
        <w:t>〕</w:t>
      </w:r>
      <w:r>
        <w:rPr>
          <w:rFonts w:ascii="Times New Roman" w:hAnsi="Times New Roman" w:eastAsia="宋体" w:cs="Times New Roman"/>
          <w:color w:val="auto"/>
        </w:rPr>
        <w:t>124</w:t>
      </w:r>
      <w:r>
        <w:rPr>
          <w:rFonts w:hint="eastAsia" w:ascii="Times New Roman" w:hAnsi="Times New Roman" w:eastAsia="宋体" w:cs="Times New Roman"/>
          <w:color w:val="auto"/>
        </w:rPr>
        <w:t>号）的规定，采用竞争性磋商采购方式采购的政府购买服务项目（含政府和社会资本合作项目），在采购过程中符合要求的供应商（社会资本）只有</w:t>
      </w:r>
      <w:r>
        <w:rPr>
          <w:rFonts w:ascii="Times New Roman" w:hAnsi="Times New Roman" w:eastAsia="宋体" w:cs="Times New Roman"/>
          <w:color w:val="auto"/>
        </w:rPr>
        <w:t>2</w:t>
      </w:r>
      <w:r>
        <w:rPr>
          <w:rFonts w:hint="eastAsia" w:ascii="Times New Roman" w:hAnsi="Times New Roman" w:eastAsia="宋体" w:cs="Times New Roman"/>
          <w:color w:val="auto"/>
        </w:rPr>
        <w:t>家的，竞争性磋商采购活动可以继续进行。采购过程中符合要求的供应商（社会资本）只有</w:t>
      </w:r>
      <w:r>
        <w:rPr>
          <w:rFonts w:ascii="Times New Roman" w:hAnsi="Times New Roman" w:eastAsia="宋体" w:cs="Times New Roman"/>
          <w:color w:val="auto"/>
        </w:rPr>
        <w:t>1</w:t>
      </w:r>
      <w:r>
        <w:rPr>
          <w:rFonts w:hint="eastAsia" w:ascii="Times New Roman" w:hAnsi="Times New Roman" w:eastAsia="宋体" w:cs="Times New Roman"/>
          <w:color w:val="auto"/>
        </w:rPr>
        <w:t>家的，采购人（项目实施机构）或者采购代理机构应当终止竞争性磋商采购活动，发布项目终止公告并说明原因，重新开展采购活动。</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 评审方法及标准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磋商小组将根据竞争性磋商文件确定的评审原则和评审方法对确定为实质上响应竞争性磋商文件要求的投标进行评估和比较。</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28.2 磋商小组应当按照客观、公正、审慎的原则，根据竞争性磋商文件规定的评审程序、评审方法和评审标准进行独立评审。</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28.3 竞争性磋商文件内容违反国家有关强制性规定的，磋商小组应当停止评审并向采购人或者采购代理机构说明情况。</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对竞争性磋商文件中描述有歧义或前后不一致的地方，磋商小组有权进行评判，但对同一条款的评判应适用于每个投标人。</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28.5 评审方法</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w:t>
      </w:r>
      <w:r>
        <w:rPr>
          <w:rFonts w:hint="eastAsia" w:ascii="Times New Roman" w:hAnsi="Times New Roman" w:eastAsia="宋体"/>
          <w:color w:val="auto"/>
        </w:rPr>
        <w:t>按照《关于调整优化节能产品、环境标志产品政府采购执行机制的通知》（财库〔2019〕9号）文件要求，对</w:t>
      </w:r>
      <w:r>
        <w:rPr>
          <w:rFonts w:ascii="Times New Roman" w:hAnsi="Times New Roman" w:cs="Times New Roman"/>
          <w:color w:val="auto"/>
        </w:rPr>
        <w:t>政府采购节能、环境标志品目清单</w:t>
      </w:r>
      <w:r>
        <w:rPr>
          <w:rFonts w:hint="eastAsia" w:ascii="Times New Roman" w:hAnsi="Times New Roman" w:cs="Times New Roman"/>
          <w:color w:val="auto"/>
        </w:rPr>
        <w:t>内的产品实施</w:t>
      </w:r>
      <w:r>
        <w:rPr>
          <w:rFonts w:hint="eastAsia" w:ascii="Times New Roman" w:hAnsi="Times New Roman" w:eastAsia="宋体"/>
          <w:color w:val="auto"/>
        </w:rPr>
        <w:t>优先采购和强制采购的评标方法。</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（5）成交候选供应商产生办法：按得分由高到低顺序确定成交候选供应商；得分相同的，按投标报价由低到高顺序确定成交候选供应商；得分且投标报价相同的，按技术指标优劣顺序确定成交候选供应商。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（6）采购人按成交候选供应商顺序确定成交供应商，或授权磋商小组按成交候选供应商顺序直接确定成交供应商。</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28.6 出现以下任何情形取消磋商资格：</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（1）响应文件未按竞争性磋商文件的要求加盖电子签章的；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（2）磋商有效期短于竞争性磋商文件要求的；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（3）响应文件中提供虚假材料的；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（4）不能满足竞争性磋商文件中任何一条实质性要求或加注“★”号条款出现负偏离或经磋商小组认定未实质性响应竞争性磋商文件要求的或响应内容不符合相关强制性规定的；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（5）未按时进行网上解密或电子响应文件损坏、无效的；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（6）磋商报价超出采购预算的；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w:t>
      </w:r>
      <w:r>
        <w:rPr>
          <w:rFonts w:hint="eastAsia" w:ascii="Times New Roman" w:hAnsi="Times New Roman" w:eastAsia="宋体" w:cs="Times New Roman"/>
        </w:rPr>
        <w:t>参加同一合同项下投标的，相关投标均无效；</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（9）其他法定响应无效的情形。</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 其他注意事项</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29.1 在磋商期间，投标人不得向磋商小组成员或采购代理机构询问评审情况、施加任何影响，不得进行旨在影响评审结果的活动。</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28"/>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29.3 本项目不接受赠品、回扣或者与采购无关的其他商品、服务。</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29.4 如果几个投标人所投整包产品为同一品牌时，在服务承诺符合竞争性磋商文件的情况下，报价最低的投标人入围评审阶段。</w:t>
      </w:r>
    </w:p>
    <w:p>
      <w:pPr>
        <w:pStyle w:val="28"/>
        <w:spacing w:line="360" w:lineRule="auto"/>
        <w:ind w:firstLine="480" w:firstLineChars="200"/>
        <w:jc w:val="both"/>
        <w:rPr>
          <w:rFonts w:ascii="Times New Roman" w:hAnsi="Times New Roman" w:eastAsia="宋体" w:cs="Times New Roman"/>
          <w:color w:val="auto"/>
        </w:rPr>
      </w:pPr>
    </w:p>
    <w:p>
      <w:pPr>
        <w:pStyle w:val="28"/>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F  授予合同</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 成交供应商的产生</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30.1 采购人可以事先授权磋商小组直接确定成交供应商。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30.2 采购人也可以按照《政府采购法》及其实施条例等法律法规的规定和竞争性磋商文件的要求确认成交供应商。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成交通知</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31.1 成交公告发布同时，采购代理机构将通过天津市政府采购中心招投标系统以电子形式向成交供应商发出《成交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成交通知书》一经发出即发生法律效力。</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31.2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签订合同</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32.1采购人与成交供应商应当在成交通知书发出之日起三十日内，按照竞争性磋商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32.2 竞争性磋商文件、成交供应商的响应文件及其澄清文件等，均为签订合同的依据，且为合同的组成部分。</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 履约保证金</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33.1 若《磋商项目需求》规定须提交履约保证金的，成交供应商须按照规定要求提交履约保证金。</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33.2 成交供应商未能按合同规定履行其义务，采购人有权没收履约保证金。</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成交供应商拒绝与采购人签订合同的，采购人可以按照评审报告推荐的成交候选人名单排序，确定下一候选人为成交供应商，也可以重新开展政府采购活动。</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合同分包</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35.1 未经采购人同意，成交供应商不得分包合同。</w:t>
      </w:r>
    </w:p>
    <w:p>
      <w:pPr>
        <w:pStyle w:val="28"/>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35.2 政府采购合同分包履行的，成交供应商就采购项目和分包项目向采购人负责，分包供应商就分包项目承担责任。</w:t>
      </w:r>
    </w:p>
    <w:p>
      <w:pPr>
        <w:pStyle w:val="28"/>
        <w:spacing w:line="360" w:lineRule="auto"/>
        <w:ind w:firstLine="480" w:firstLineChars="200"/>
        <w:jc w:val="both"/>
        <w:rPr>
          <w:rFonts w:ascii="Times New Roman" w:hAnsi="Times New Roman" w:eastAsia="宋体" w:cs="Times New Roman"/>
          <w:color w:val="auto"/>
        </w:rPr>
      </w:pPr>
    </w:p>
    <w:p>
      <w:pPr>
        <w:pStyle w:val="28"/>
        <w:snapToGrid w:val="0"/>
        <w:spacing w:line="360" w:lineRule="auto"/>
        <w:ind w:firstLine="480" w:firstLineChars="200"/>
        <w:jc w:val="both"/>
        <w:rPr>
          <w:rFonts w:ascii="Times New Roman" w:hAnsi="Times New Roman" w:eastAsia="宋体" w:cs="Times New Roman"/>
          <w:color w:val="auto"/>
        </w:rPr>
      </w:pPr>
    </w:p>
    <w:p>
      <w:pPr>
        <w:pStyle w:val="28"/>
        <w:snapToGrid w:val="0"/>
        <w:spacing w:line="360" w:lineRule="auto"/>
        <w:ind w:firstLine="480" w:firstLineChars="200"/>
        <w:jc w:val="both"/>
        <w:rPr>
          <w:rFonts w:ascii="Times New Roman" w:hAnsi="Times New Roman" w:eastAsia="宋体" w:cs="Times New Roman"/>
          <w:color w:val="auto"/>
        </w:rPr>
        <w:sectPr>
          <w:headerReference r:id="rId7"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rPr>
      </w:pPr>
      <w:r>
        <w:rPr>
          <w:rFonts w:ascii="Times New Roman" w:hAnsi="Times New Roman"/>
        </w:rPr>
        <w:t>第四部分  合同草案</w:t>
      </w:r>
      <w:bookmarkEnd w:id="4"/>
    </w:p>
    <w:p>
      <w:pPr>
        <w:tabs>
          <w:tab w:val="left" w:pos="412"/>
          <w:tab w:val="left" w:pos="618"/>
        </w:tabs>
        <w:spacing w:line="520" w:lineRule="exact"/>
        <w:jc w:val="center"/>
        <w:rPr>
          <w:b/>
          <w:bCs/>
          <w:sz w:val="24"/>
          <w:szCs w:val="24"/>
        </w:rPr>
      </w:pPr>
      <w:r>
        <w:rPr>
          <w:b/>
          <w:bCs/>
          <w:sz w:val="24"/>
          <w:szCs w:val="24"/>
        </w:rPr>
        <w:t>合同一般条款</w:t>
      </w:r>
    </w:p>
    <w:p>
      <w:pPr>
        <w:snapToGrid w:val="0"/>
        <w:spacing w:line="360" w:lineRule="auto"/>
        <w:ind w:firstLine="482" w:firstLineChars="200"/>
        <w:rPr>
          <w:b/>
          <w:bCs/>
          <w:sz w:val="24"/>
          <w:szCs w:val="24"/>
        </w:rPr>
      </w:pPr>
    </w:p>
    <w:p>
      <w:pPr>
        <w:snapToGrid w:val="0"/>
        <w:spacing w:line="360" w:lineRule="auto"/>
        <w:ind w:firstLine="482" w:firstLineChars="200"/>
        <w:rPr>
          <w:sz w:val="24"/>
          <w:szCs w:val="24"/>
        </w:rPr>
      </w:pPr>
      <w:r>
        <w:rPr>
          <w:b/>
          <w:bCs/>
          <w:sz w:val="24"/>
          <w:szCs w:val="24"/>
        </w:rPr>
        <w:t>采购人（甲方）：</w:t>
      </w:r>
    </w:p>
    <w:p>
      <w:pPr>
        <w:snapToGrid w:val="0"/>
        <w:spacing w:line="360" w:lineRule="auto"/>
        <w:ind w:firstLine="482" w:firstLineChars="200"/>
        <w:rPr>
          <w:sz w:val="24"/>
          <w:szCs w:val="24"/>
        </w:rPr>
      </w:pPr>
      <w:r>
        <w:rPr>
          <w:b/>
          <w:bCs/>
          <w:sz w:val="24"/>
          <w:szCs w:val="24"/>
        </w:rPr>
        <w:t>供应商（乙方）：</w:t>
      </w:r>
    </w:p>
    <w:p>
      <w:pPr>
        <w:spacing w:line="480" w:lineRule="exact"/>
        <w:ind w:firstLine="480" w:firstLineChars="200"/>
        <w:rPr>
          <w:sz w:val="24"/>
          <w:szCs w:val="24"/>
        </w:rPr>
      </w:pPr>
      <w:r>
        <w:rPr>
          <w:sz w:val="24"/>
          <w:szCs w:val="24"/>
        </w:rPr>
        <w:t>甲、乙双方根据项目（项目编号：TGPC-201-）的政府采购结果和磋商文件（或采购文件）的要求，并经双方协商一致，达成本合同：</w:t>
      </w:r>
    </w:p>
    <w:p>
      <w:pPr>
        <w:pStyle w:val="36"/>
        <w:numPr>
          <w:ilvl w:val="0"/>
          <w:numId w:val="2"/>
        </w:numPr>
        <w:spacing w:line="480" w:lineRule="exact"/>
        <w:ind w:firstLineChars="0"/>
        <w:rPr>
          <w:sz w:val="24"/>
        </w:rPr>
      </w:pPr>
      <w:r>
        <w:rPr>
          <w:rFonts w:hint="eastAsia"/>
          <w:sz w:val="24"/>
        </w:rPr>
        <w:t>本合同为中小企业预留合同</w:t>
      </w:r>
    </w:p>
    <w:p>
      <w:pPr>
        <w:pStyle w:val="36"/>
        <w:numPr>
          <w:ilvl w:val="0"/>
          <w:numId w:val="2"/>
        </w:numPr>
        <w:spacing w:line="480" w:lineRule="exact"/>
        <w:ind w:firstLineChars="0"/>
        <w:rPr>
          <w:sz w:val="24"/>
        </w:rPr>
      </w:pPr>
      <w:r>
        <w:rPr>
          <w:rFonts w:hint="eastAsia"/>
          <w:sz w:val="24"/>
        </w:rPr>
        <w:t>本合同非中小企业预留合同</w:t>
      </w:r>
    </w:p>
    <w:p>
      <w:pPr>
        <w:spacing w:line="480" w:lineRule="exact"/>
        <w:ind w:firstLine="480" w:firstLineChars="200"/>
        <w:rPr>
          <w:sz w:val="24"/>
          <w:szCs w:val="24"/>
        </w:rPr>
      </w:pPr>
      <w:r>
        <w:rPr>
          <w:sz w:val="24"/>
          <w:szCs w:val="24"/>
        </w:rPr>
        <w:t>第一条委托物业的基本情况</w:t>
      </w:r>
    </w:p>
    <w:p>
      <w:pPr>
        <w:spacing w:line="360" w:lineRule="auto"/>
        <w:ind w:firstLine="484" w:firstLineChars="202"/>
        <w:rPr>
          <w:sz w:val="24"/>
          <w:szCs w:val="24"/>
        </w:rPr>
      </w:pPr>
      <w:r>
        <w:rPr>
          <w:sz w:val="24"/>
          <w:szCs w:val="24"/>
        </w:rPr>
        <w:t>物业名称：</w:t>
      </w:r>
    </w:p>
    <w:p>
      <w:pPr>
        <w:spacing w:line="360" w:lineRule="auto"/>
        <w:ind w:firstLine="484" w:firstLineChars="202"/>
        <w:rPr>
          <w:sz w:val="24"/>
          <w:szCs w:val="24"/>
        </w:rPr>
      </w:pPr>
      <w:r>
        <w:rPr>
          <w:sz w:val="24"/>
          <w:szCs w:val="24"/>
        </w:rPr>
        <w:t>物业类型：</w:t>
      </w:r>
    </w:p>
    <w:p>
      <w:pPr>
        <w:spacing w:line="360" w:lineRule="auto"/>
        <w:ind w:firstLine="484" w:firstLineChars="202"/>
        <w:rPr>
          <w:sz w:val="24"/>
          <w:szCs w:val="24"/>
        </w:rPr>
      </w:pPr>
      <w:r>
        <w:rPr>
          <w:sz w:val="24"/>
          <w:szCs w:val="24"/>
        </w:rPr>
        <w:t>座落位置：</w:t>
      </w:r>
    </w:p>
    <w:p>
      <w:pPr>
        <w:spacing w:line="360" w:lineRule="auto"/>
        <w:ind w:firstLine="484" w:firstLineChars="202"/>
        <w:rPr>
          <w:sz w:val="24"/>
          <w:szCs w:val="24"/>
        </w:rPr>
      </w:pPr>
      <w:r>
        <w:rPr>
          <w:sz w:val="24"/>
          <w:szCs w:val="24"/>
        </w:rPr>
        <w:t>物业管理区域四至：</w:t>
      </w:r>
    </w:p>
    <w:p>
      <w:pPr>
        <w:spacing w:line="360" w:lineRule="auto"/>
        <w:ind w:firstLine="484" w:firstLineChars="202"/>
        <w:rPr>
          <w:sz w:val="24"/>
          <w:szCs w:val="24"/>
        </w:rPr>
      </w:pPr>
      <w:r>
        <w:rPr>
          <w:sz w:val="24"/>
          <w:szCs w:val="24"/>
        </w:rPr>
        <w:t>东至：南至：</w:t>
      </w:r>
    </w:p>
    <w:p>
      <w:pPr>
        <w:spacing w:line="360" w:lineRule="auto"/>
        <w:ind w:firstLine="484" w:firstLineChars="202"/>
        <w:rPr>
          <w:sz w:val="24"/>
          <w:szCs w:val="24"/>
        </w:rPr>
      </w:pPr>
      <w:r>
        <w:rPr>
          <w:sz w:val="24"/>
          <w:szCs w:val="24"/>
        </w:rPr>
        <w:t>西至：北至：</w:t>
      </w:r>
    </w:p>
    <w:p>
      <w:pPr>
        <w:spacing w:line="360" w:lineRule="auto"/>
        <w:ind w:firstLine="484" w:firstLineChars="202"/>
        <w:rPr>
          <w:sz w:val="24"/>
          <w:szCs w:val="24"/>
        </w:rPr>
      </w:pPr>
      <w:r>
        <w:rPr>
          <w:sz w:val="24"/>
          <w:szCs w:val="24"/>
        </w:rPr>
        <w:t>占地面积：大楼总建筑面积：</w:t>
      </w:r>
    </w:p>
    <w:p>
      <w:pPr>
        <w:spacing w:line="360" w:lineRule="auto"/>
        <w:ind w:firstLine="484" w:firstLineChars="202"/>
        <w:rPr>
          <w:sz w:val="24"/>
          <w:szCs w:val="24"/>
        </w:rPr>
      </w:pPr>
      <w:r>
        <w:rPr>
          <w:sz w:val="24"/>
          <w:szCs w:val="24"/>
        </w:rPr>
        <w:t>其中：地上面积：平方米</w:t>
      </w:r>
    </w:p>
    <w:p>
      <w:pPr>
        <w:spacing w:line="360" w:lineRule="auto"/>
        <w:ind w:firstLine="484" w:firstLineChars="202"/>
        <w:rPr>
          <w:sz w:val="24"/>
          <w:szCs w:val="24"/>
        </w:rPr>
      </w:pPr>
      <w:r>
        <w:rPr>
          <w:sz w:val="24"/>
          <w:szCs w:val="24"/>
        </w:rPr>
        <w:t>地下面积：平方米</w:t>
      </w:r>
    </w:p>
    <w:p>
      <w:pPr>
        <w:spacing w:line="360" w:lineRule="auto"/>
        <w:ind w:firstLine="484" w:firstLineChars="202"/>
        <w:rPr>
          <w:sz w:val="24"/>
          <w:szCs w:val="24"/>
        </w:rPr>
      </w:pPr>
      <w:r>
        <w:rPr>
          <w:sz w:val="24"/>
          <w:szCs w:val="24"/>
        </w:rPr>
        <w:t>标准层面积：平方米</w:t>
      </w:r>
    </w:p>
    <w:p>
      <w:pPr>
        <w:spacing w:line="360" w:lineRule="auto"/>
        <w:ind w:firstLine="484" w:firstLineChars="202"/>
        <w:rPr>
          <w:sz w:val="24"/>
          <w:szCs w:val="24"/>
        </w:rPr>
      </w:pPr>
      <w:r>
        <w:rPr>
          <w:sz w:val="24"/>
          <w:szCs w:val="24"/>
        </w:rPr>
        <w:t>人防建筑面积：平方米</w:t>
      </w:r>
    </w:p>
    <w:p>
      <w:pPr>
        <w:spacing w:line="360" w:lineRule="auto"/>
        <w:ind w:firstLine="484" w:firstLineChars="202"/>
        <w:rPr>
          <w:sz w:val="24"/>
          <w:szCs w:val="24"/>
        </w:rPr>
      </w:pPr>
      <w:r>
        <w:rPr>
          <w:sz w:val="24"/>
          <w:szCs w:val="24"/>
        </w:rPr>
        <w:t>建筑层数：地上层，地下层</w:t>
      </w:r>
    </w:p>
    <w:p>
      <w:pPr>
        <w:spacing w:line="360" w:lineRule="auto"/>
        <w:ind w:firstLine="484" w:firstLineChars="202"/>
        <w:rPr>
          <w:sz w:val="24"/>
          <w:szCs w:val="24"/>
        </w:rPr>
      </w:pPr>
      <w:r>
        <w:rPr>
          <w:sz w:val="24"/>
          <w:szCs w:val="24"/>
        </w:rPr>
        <w:t>建筑尺寸：长：米，宽：米，高：米</w:t>
      </w:r>
    </w:p>
    <w:p>
      <w:pPr>
        <w:spacing w:line="360" w:lineRule="auto"/>
        <w:ind w:firstLine="484" w:firstLineChars="202"/>
        <w:rPr>
          <w:sz w:val="24"/>
          <w:szCs w:val="24"/>
        </w:rPr>
      </w:pPr>
      <w:r>
        <w:rPr>
          <w:sz w:val="24"/>
          <w:szCs w:val="24"/>
        </w:rPr>
        <w:t>建筑层高：</w:t>
      </w:r>
    </w:p>
    <w:p>
      <w:pPr>
        <w:spacing w:line="360" w:lineRule="auto"/>
        <w:ind w:firstLine="484" w:firstLineChars="202"/>
        <w:rPr>
          <w:sz w:val="24"/>
          <w:szCs w:val="24"/>
        </w:rPr>
      </w:pPr>
      <w:r>
        <w:rPr>
          <w:sz w:val="24"/>
          <w:szCs w:val="24"/>
        </w:rPr>
        <w:t>建筑结构：</w:t>
      </w:r>
    </w:p>
    <w:p>
      <w:pPr>
        <w:spacing w:line="480" w:lineRule="exact"/>
        <w:ind w:firstLine="480" w:firstLineChars="200"/>
        <w:rPr>
          <w:sz w:val="24"/>
          <w:szCs w:val="24"/>
        </w:rPr>
      </w:pPr>
      <w:r>
        <w:rPr>
          <w:sz w:val="24"/>
          <w:szCs w:val="24"/>
        </w:rPr>
        <w:t>第二条物业服务内容及标准</w:t>
      </w:r>
    </w:p>
    <w:p>
      <w:pPr>
        <w:spacing w:line="480" w:lineRule="exact"/>
        <w:ind w:firstLine="480" w:firstLineChars="200"/>
        <w:rPr>
          <w:spacing w:val="-20"/>
          <w:sz w:val="24"/>
          <w:szCs w:val="24"/>
          <w:bdr w:val="single" w:color="auto" w:sz="4" w:space="0"/>
        </w:rPr>
      </w:pPr>
      <w:r>
        <w:rPr>
          <w:sz w:val="24"/>
          <w:szCs w:val="24"/>
        </w:rPr>
        <w:t>（一）房屋本体和共用部位的维修、养护和管理：</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（二）共用设施设备运行、维修、养护：</w:t>
      </w:r>
    </w:p>
    <w:p>
      <w:pPr>
        <w:spacing w:line="480" w:lineRule="exact"/>
        <w:ind w:firstLine="480" w:firstLineChars="200"/>
        <w:rPr>
          <w:sz w:val="24"/>
          <w:szCs w:val="24"/>
        </w:rPr>
      </w:pPr>
      <w:r>
        <w:rPr>
          <w:sz w:val="24"/>
          <w:szCs w:val="24"/>
        </w:rPr>
        <w:t>1.供、配电设施设备:</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2.给、排水设施设备:</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3.升降系统:</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4.消防系统:</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5.空气调节系统:</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6.智能化系统:</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7.楼宇自动化系统（通讯系统等）:</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8.停车场管理系统:</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9.其他:</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（三）共用部位和共用场地的环境保洁和绿化养护：</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（四）物业装饰装修的管理：</w:t>
      </w:r>
    </w:p>
    <w:p>
      <w:pPr>
        <w:spacing w:line="480" w:lineRule="exact"/>
        <w:ind w:firstLine="400" w:firstLineChars="200"/>
        <w:rPr>
          <w:spacing w:val="-20"/>
          <w:sz w:val="24"/>
          <w:szCs w:val="24"/>
          <w:u w:val="single"/>
        </w:rPr>
      </w:pPr>
    </w:p>
    <w:p>
      <w:pPr>
        <w:spacing w:line="480" w:lineRule="exact"/>
        <w:ind w:firstLine="480" w:firstLineChars="200"/>
        <w:rPr>
          <w:sz w:val="24"/>
          <w:szCs w:val="24"/>
          <w:bdr w:val="single" w:color="auto" w:sz="4" w:space="0"/>
        </w:rPr>
      </w:pPr>
      <w:r>
        <w:rPr>
          <w:sz w:val="24"/>
          <w:szCs w:val="24"/>
        </w:rPr>
        <w:t>（五）车辆行驶和停放秩序的服务、管理：</w:t>
      </w:r>
    </w:p>
    <w:p>
      <w:pPr>
        <w:spacing w:line="480" w:lineRule="exact"/>
        <w:ind w:firstLine="400" w:firstLineChars="200"/>
        <w:rPr>
          <w:spacing w:val="-20"/>
          <w:sz w:val="24"/>
          <w:szCs w:val="24"/>
          <w:u w:val="single"/>
        </w:rPr>
      </w:pPr>
    </w:p>
    <w:p>
      <w:pPr>
        <w:spacing w:line="480" w:lineRule="exact"/>
        <w:ind w:firstLine="480" w:firstLineChars="200"/>
        <w:rPr>
          <w:sz w:val="24"/>
          <w:szCs w:val="24"/>
          <w:bdr w:val="single" w:color="auto" w:sz="4" w:space="0"/>
        </w:rPr>
      </w:pPr>
      <w:r>
        <w:rPr>
          <w:sz w:val="24"/>
          <w:szCs w:val="24"/>
        </w:rPr>
        <w:t>（六）物业管理区域内公共秩序的维护和消防管理：</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（七）物业档案的建立、保管和使用：</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（八）其他委托事项：</w:t>
      </w:r>
    </w:p>
    <w:p>
      <w:pPr>
        <w:spacing w:line="480" w:lineRule="exact"/>
        <w:ind w:firstLine="480" w:firstLineChars="200"/>
        <w:rPr>
          <w:sz w:val="24"/>
          <w:szCs w:val="24"/>
        </w:rPr>
      </w:pPr>
      <w:r>
        <w:rPr>
          <w:sz w:val="24"/>
          <w:szCs w:val="24"/>
        </w:rPr>
        <w:t>1、</w:t>
      </w:r>
    </w:p>
    <w:p>
      <w:pPr>
        <w:spacing w:line="480" w:lineRule="exact"/>
        <w:ind w:firstLine="480" w:firstLineChars="200"/>
        <w:rPr>
          <w:sz w:val="24"/>
          <w:szCs w:val="24"/>
        </w:rPr>
      </w:pPr>
      <w:r>
        <w:rPr>
          <w:sz w:val="24"/>
          <w:szCs w:val="24"/>
        </w:rPr>
        <w:t>2、</w:t>
      </w:r>
    </w:p>
    <w:p>
      <w:pPr>
        <w:spacing w:line="480" w:lineRule="exact"/>
        <w:ind w:firstLine="480" w:firstLineChars="200"/>
        <w:rPr>
          <w:sz w:val="24"/>
          <w:szCs w:val="24"/>
          <w:u w:val="single"/>
        </w:rPr>
      </w:pPr>
      <w:r>
        <w:rPr>
          <w:sz w:val="24"/>
          <w:szCs w:val="24"/>
        </w:rPr>
        <w:t>3、</w:t>
      </w:r>
    </w:p>
    <w:p>
      <w:pPr>
        <w:spacing w:line="480" w:lineRule="exact"/>
        <w:ind w:firstLine="480" w:firstLineChars="200"/>
        <w:rPr>
          <w:sz w:val="24"/>
          <w:szCs w:val="24"/>
        </w:rPr>
      </w:pPr>
      <w:r>
        <w:rPr>
          <w:sz w:val="24"/>
          <w:szCs w:val="24"/>
        </w:rPr>
        <w:t>第三条物业服务合同期限</w:t>
      </w:r>
    </w:p>
    <w:p>
      <w:pPr>
        <w:spacing w:line="480" w:lineRule="exact"/>
        <w:ind w:firstLine="480" w:firstLineChars="200"/>
        <w:rPr>
          <w:color w:val="FF0000"/>
          <w:sz w:val="24"/>
          <w:szCs w:val="24"/>
        </w:rPr>
      </w:pPr>
      <w:r>
        <w:rPr>
          <w:sz w:val="24"/>
          <w:szCs w:val="24"/>
        </w:rPr>
        <w:t>物业服务合同期限为年。</w:t>
      </w:r>
    </w:p>
    <w:p>
      <w:pPr>
        <w:spacing w:line="480" w:lineRule="exact"/>
        <w:ind w:firstLine="480" w:firstLineChars="200"/>
        <w:rPr>
          <w:sz w:val="24"/>
          <w:szCs w:val="24"/>
        </w:rPr>
      </w:pPr>
      <w:r>
        <w:rPr>
          <w:sz w:val="24"/>
          <w:szCs w:val="24"/>
        </w:rPr>
        <w:t>自    年   月    日起至     年   月     日终止。</w:t>
      </w:r>
    </w:p>
    <w:p>
      <w:pPr>
        <w:spacing w:line="480" w:lineRule="exact"/>
        <w:ind w:firstLine="480" w:firstLineChars="200"/>
        <w:rPr>
          <w:sz w:val="24"/>
          <w:szCs w:val="24"/>
        </w:rPr>
      </w:pPr>
      <w:r>
        <w:rPr>
          <w:sz w:val="24"/>
          <w:szCs w:val="24"/>
        </w:rPr>
        <w:t>第四条甲方权利义务</w:t>
      </w:r>
    </w:p>
    <w:p>
      <w:pPr>
        <w:spacing w:line="480" w:lineRule="exact"/>
        <w:ind w:firstLine="480" w:firstLineChars="200"/>
        <w:rPr>
          <w:sz w:val="24"/>
          <w:szCs w:val="24"/>
        </w:rPr>
      </w:pPr>
      <w:r>
        <w:rPr>
          <w:sz w:val="24"/>
          <w:szCs w:val="24"/>
        </w:rPr>
        <w:t>（一）代表和维护采购人所有人员在物业管理服务活动中的合法权益；</w:t>
      </w:r>
    </w:p>
    <w:p>
      <w:pPr>
        <w:spacing w:line="480" w:lineRule="exact"/>
        <w:ind w:firstLine="480" w:firstLineChars="200"/>
        <w:rPr>
          <w:sz w:val="24"/>
          <w:szCs w:val="24"/>
        </w:rPr>
      </w:pPr>
      <w:r>
        <w:rPr>
          <w:sz w:val="24"/>
          <w:szCs w:val="24"/>
        </w:rPr>
        <w:t>（二）制定、修改管理规约，监督采购人所有人员遵守管理规约；</w:t>
      </w:r>
    </w:p>
    <w:p>
      <w:pPr>
        <w:spacing w:line="480" w:lineRule="exact"/>
        <w:ind w:firstLine="480" w:firstLineChars="200"/>
        <w:rPr>
          <w:sz w:val="24"/>
          <w:szCs w:val="24"/>
        </w:rPr>
      </w:pPr>
      <w:r>
        <w:rPr>
          <w:sz w:val="24"/>
          <w:szCs w:val="24"/>
        </w:rPr>
        <w:t>（三）审定物业服务合同内容，选聘、解聘物业服务企业；</w:t>
      </w:r>
    </w:p>
    <w:p>
      <w:pPr>
        <w:spacing w:line="480" w:lineRule="exact"/>
        <w:ind w:firstLine="480" w:firstLineChars="200"/>
        <w:rPr>
          <w:sz w:val="24"/>
          <w:szCs w:val="24"/>
        </w:rPr>
      </w:pPr>
      <w:r>
        <w:rPr>
          <w:sz w:val="24"/>
          <w:szCs w:val="24"/>
        </w:rPr>
        <w:t>（四）审定乙方提出的物业管理服务年度计划及管理制度，监督并配合乙方管理服务工作的实施及制度的执行；</w:t>
      </w:r>
    </w:p>
    <w:p>
      <w:pPr>
        <w:spacing w:line="480" w:lineRule="exact"/>
        <w:ind w:firstLine="480" w:firstLineChars="200"/>
        <w:rPr>
          <w:sz w:val="24"/>
          <w:szCs w:val="24"/>
        </w:rPr>
      </w:pPr>
      <w:r>
        <w:rPr>
          <w:sz w:val="24"/>
          <w:szCs w:val="24"/>
        </w:rPr>
        <w:t>（五）制定、修改、审议物业管理区域内共用部位和共用设施设备的使用、公共秩序和环境卫生的维护等方面的规章制度或者物业服务企业提出的其他管理事项；</w:t>
      </w:r>
    </w:p>
    <w:p>
      <w:pPr>
        <w:spacing w:line="480" w:lineRule="exact"/>
        <w:ind w:firstLine="480" w:firstLineChars="200"/>
        <w:rPr>
          <w:sz w:val="24"/>
          <w:szCs w:val="24"/>
        </w:rPr>
      </w:pPr>
      <w:r>
        <w:rPr>
          <w:sz w:val="24"/>
          <w:szCs w:val="24"/>
        </w:rPr>
        <w:t>（六）负责提供物业管理服务所需相关文件和资料；</w:t>
      </w:r>
    </w:p>
    <w:p>
      <w:pPr>
        <w:spacing w:line="480" w:lineRule="exact"/>
        <w:ind w:firstLine="480" w:firstLineChars="200"/>
        <w:rPr>
          <w:sz w:val="24"/>
          <w:szCs w:val="24"/>
        </w:rPr>
      </w:pPr>
      <w:r>
        <w:rPr>
          <w:sz w:val="24"/>
          <w:szCs w:val="24"/>
        </w:rPr>
        <w:t>（七）其他：</w:t>
      </w:r>
    </w:p>
    <w:p>
      <w:pPr>
        <w:spacing w:line="480" w:lineRule="exact"/>
        <w:ind w:firstLine="480" w:firstLineChars="200"/>
        <w:rPr>
          <w:sz w:val="24"/>
          <w:szCs w:val="24"/>
        </w:rPr>
      </w:pPr>
      <w:r>
        <w:rPr>
          <w:sz w:val="24"/>
          <w:szCs w:val="24"/>
        </w:rPr>
        <w:t>1、</w:t>
      </w:r>
    </w:p>
    <w:p>
      <w:pPr>
        <w:spacing w:line="480" w:lineRule="exact"/>
        <w:ind w:firstLine="480" w:firstLineChars="200"/>
        <w:rPr>
          <w:sz w:val="24"/>
          <w:szCs w:val="24"/>
          <w:u w:val="single"/>
        </w:rPr>
      </w:pPr>
      <w:r>
        <w:rPr>
          <w:sz w:val="24"/>
          <w:szCs w:val="24"/>
        </w:rPr>
        <w:t>2、</w:t>
      </w:r>
    </w:p>
    <w:p>
      <w:pPr>
        <w:spacing w:line="480" w:lineRule="exact"/>
        <w:ind w:firstLine="480" w:firstLineChars="200"/>
        <w:rPr>
          <w:sz w:val="24"/>
          <w:szCs w:val="24"/>
          <w:bdr w:val="single" w:color="auto" w:sz="4" w:space="0"/>
        </w:rPr>
      </w:pPr>
      <w:r>
        <w:rPr>
          <w:sz w:val="24"/>
          <w:szCs w:val="24"/>
        </w:rPr>
        <w:t>3、</w:t>
      </w:r>
    </w:p>
    <w:p>
      <w:pPr>
        <w:spacing w:line="480" w:lineRule="exact"/>
        <w:ind w:firstLine="480" w:firstLineChars="200"/>
        <w:rPr>
          <w:sz w:val="24"/>
          <w:szCs w:val="24"/>
        </w:rPr>
      </w:pPr>
      <w:r>
        <w:rPr>
          <w:sz w:val="24"/>
          <w:szCs w:val="24"/>
        </w:rPr>
        <w:t>第五条乙方权利义务</w:t>
      </w:r>
    </w:p>
    <w:p>
      <w:pPr>
        <w:spacing w:line="480" w:lineRule="exact"/>
        <w:ind w:firstLine="480" w:firstLineChars="200"/>
        <w:rPr>
          <w:sz w:val="24"/>
          <w:szCs w:val="24"/>
        </w:rPr>
      </w:pPr>
      <w:r>
        <w:rPr>
          <w:sz w:val="24"/>
          <w:szCs w:val="24"/>
        </w:rPr>
        <w:t>（一）依照国家、本市有关规定和本合同约定，制定物业管理服务方案和制度，对物业及其共用设施设备、消防、公共秩序及环境卫生等进行管理服务；</w:t>
      </w:r>
    </w:p>
    <w:p>
      <w:pPr>
        <w:spacing w:line="480" w:lineRule="exact"/>
        <w:ind w:firstLine="480" w:firstLineChars="200"/>
        <w:rPr>
          <w:sz w:val="24"/>
          <w:szCs w:val="24"/>
        </w:rPr>
      </w:pPr>
      <w:r>
        <w:rPr>
          <w:sz w:val="24"/>
          <w:szCs w:val="24"/>
        </w:rPr>
        <w:t>（二）在本物业管理区域内的显著位置，将服务内容、服务标准和收费项目、收费标准等有关情况进行公示；</w:t>
      </w:r>
    </w:p>
    <w:p>
      <w:pPr>
        <w:spacing w:line="480" w:lineRule="exact"/>
        <w:ind w:firstLine="480" w:firstLineChars="200"/>
        <w:rPr>
          <w:sz w:val="24"/>
          <w:szCs w:val="24"/>
        </w:rPr>
      </w:pPr>
      <w:r>
        <w:rPr>
          <w:sz w:val="24"/>
          <w:szCs w:val="24"/>
        </w:rPr>
        <w:t>（三）依照本合同约定向采购人收取物业管理服务费；</w:t>
      </w:r>
    </w:p>
    <w:p>
      <w:pPr>
        <w:spacing w:line="480" w:lineRule="exact"/>
        <w:ind w:firstLine="480" w:firstLineChars="200"/>
        <w:rPr>
          <w:sz w:val="24"/>
          <w:szCs w:val="24"/>
        </w:rPr>
      </w:pPr>
      <w:r>
        <w:rPr>
          <w:sz w:val="24"/>
          <w:szCs w:val="24"/>
        </w:rPr>
        <w:t>（四）建立物业项目的管理档案；</w:t>
      </w:r>
    </w:p>
    <w:p>
      <w:pPr>
        <w:spacing w:line="480" w:lineRule="exact"/>
        <w:ind w:firstLine="480" w:firstLineChars="200"/>
        <w:rPr>
          <w:sz w:val="24"/>
          <w:szCs w:val="24"/>
        </w:rPr>
      </w:pPr>
      <w:r>
        <w:rPr>
          <w:sz w:val="24"/>
          <w:szCs w:val="24"/>
        </w:rPr>
        <w:t>（五）对采购人违反国家和本市有关物业管理方面的法律、法规和规章及管理规约的行为，进行劝阻、制止，并向甲方和有关部门报告；</w:t>
      </w:r>
    </w:p>
    <w:p>
      <w:pPr>
        <w:spacing w:line="480" w:lineRule="exact"/>
        <w:ind w:firstLine="480" w:firstLineChars="200"/>
        <w:rPr>
          <w:sz w:val="24"/>
          <w:szCs w:val="24"/>
        </w:rPr>
      </w:pPr>
      <w:r>
        <w:rPr>
          <w:sz w:val="24"/>
          <w:szCs w:val="24"/>
        </w:rPr>
        <w:t>（六）对侵害物业共用部位、共用设施设备的行为要求责任人停止侵害、排除妨害、恢复原状；</w:t>
      </w:r>
    </w:p>
    <w:p>
      <w:pPr>
        <w:spacing w:line="480" w:lineRule="exact"/>
        <w:ind w:firstLine="480" w:firstLineChars="200"/>
        <w:rPr>
          <w:sz w:val="24"/>
          <w:szCs w:val="24"/>
        </w:rPr>
      </w:pPr>
      <w:r>
        <w:rPr>
          <w:sz w:val="24"/>
          <w:szCs w:val="24"/>
        </w:rPr>
        <w:t>（七）不得将物业项目全部委托给他人管理，但可以将专项服务委托专业公司承担；</w:t>
      </w:r>
    </w:p>
    <w:p>
      <w:pPr>
        <w:spacing w:line="480" w:lineRule="exact"/>
        <w:ind w:firstLine="480" w:firstLineChars="200"/>
        <w:rPr>
          <w:sz w:val="24"/>
          <w:szCs w:val="24"/>
        </w:rPr>
      </w:pPr>
      <w:r>
        <w:rPr>
          <w:sz w:val="24"/>
          <w:szCs w:val="24"/>
        </w:rPr>
        <w:t>（八）负责编制物业的年度维修养护计划，并组织实施；</w:t>
      </w:r>
    </w:p>
    <w:p>
      <w:pPr>
        <w:spacing w:line="480" w:lineRule="exact"/>
        <w:ind w:firstLine="480" w:firstLineChars="200"/>
        <w:rPr>
          <w:sz w:val="24"/>
          <w:szCs w:val="24"/>
        </w:rPr>
      </w:pPr>
      <w:r>
        <w:rPr>
          <w:sz w:val="24"/>
          <w:szCs w:val="24"/>
        </w:rPr>
        <w:t>（九）提前将装饰装修房屋的有关规定书面告知采购人，当采购人装饰装修房屋时，对不符合安全要求和影响公共利益的行为，进行劝阻制止，劝阻无效时向有关行政管理部门报告；</w:t>
      </w:r>
    </w:p>
    <w:p>
      <w:pPr>
        <w:spacing w:line="480" w:lineRule="exact"/>
        <w:ind w:firstLine="480" w:firstLineChars="200"/>
        <w:rPr>
          <w:sz w:val="24"/>
          <w:szCs w:val="24"/>
        </w:rPr>
      </w:pPr>
      <w:r>
        <w:rPr>
          <w:sz w:val="24"/>
          <w:szCs w:val="24"/>
        </w:rPr>
        <w:t>（十）负责编制物业服务年度计划；</w:t>
      </w:r>
    </w:p>
    <w:p>
      <w:pPr>
        <w:spacing w:line="480" w:lineRule="exact"/>
        <w:ind w:firstLine="480" w:firstLineChars="200"/>
        <w:rPr>
          <w:sz w:val="24"/>
          <w:szCs w:val="24"/>
        </w:rPr>
      </w:pPr>
      <w:r>
        <w:rPr>
          <w:sz w:val="24"/>
          <w:szCs w:val="24"/>
        </w:rPr>
        <w:t>（十一）对本物业的共用部位、设施及场地不得擅自占用和改变使用功能，如需在本物业内改、扩建或者完善配套设施设备，经甲方同意后报有关部门批准方可以实施；</w:t>
      </w:r>
    </w:p>
    <w:p>
      <w:pPr>
        <w:spacing w:line="480" w:lineRule="exact"/>
        <w:ind w:firstLine="480" w:firstLineChars="200"/>
        <w:rPr>
          <w:sz w:val="24"/>
          <w:szCs w:val="24"/>
          <w:bdr w:val="single" w:color="auto" w:sz="4" w:space="0"/>
        </w:rPr>
      </w:pPr>
      <w:r>
        <w:rPr>
          <w:sz w:val="24"/>
          <w:szCs w:val="24"/>
        </w:rPr>
        <w:t>（十二）本合同终止乙方不再管理本物业时，在合同终止之日起十日内，除向甲方移交本合同规定的资料外，还必须办理下列移交事项：</w:t>
      </w:r>
    </w:p>
    <w:p>
      <w:pPr>
        <w:spacing w:line="480" w:lineRule="exact"/>
        <w:ind w:firstLine="480" w:firstLineChars="200"/>
        <w:rPr>
          <w:sz w:val="24"/>
          <w:szCs w:val="24"/>
        </w:rPr>
      </w:pPr>
      <w:r>
        <w:rPr>
          <w:sz w:val="24"/>
          <w:szCs w:val="24"/>
        </w:rPr>
        <w:t>1、预收的物业管理服务费等收益余额；</w:t>
      </w:r>
    </w:p>
    <w:p>
      <w:pPr>
        <w:spacing w:line="480" w:lineRule="exact"/>
        <w:ind w:firstLine="480" w:firstLineChars="200"/>
        <w:rPr>
          <w:sz w:val="24"/>
          <w:szCs w:val="24"/>
        </w:rPr>
      </w:pPr>
      <w:r>
        <w:rPr>
          <w:sz w:val="24"/>
          <w:szCs w:val="24"/>
        </w:rPr>
        <w:t>2、物业管理项目的档案资料；</w:t>
      </w:r>
    </w:p>
    <w:p>
      <w:pPr>
        <w:spacing w:line="480" w:lineRule="exact"/>
        <w:ind w:firstLine="480" w:firstLineChars="200"/>
        <w:rPr>
          <w:sz w:val="24"/>
          <w:szCs w:val="24"/>
        </w:rPr>
      </w:pPr>
      <w:r>
        <w:rPr>
          <w:sz w:val="24"/>
          <w:szCs w:val="24"/>
        </w:rPr>
        <w:t>3、物业管理用房和属于采购人的场地、设施设备。</w:t>
      </w:r>
    </w:p>
    <w:p>
      <w:pPr>
        <w:spacing w:line="480" w:lineRule="exact"/>
        <w:ind w:firstLine="480" w:firstLineChars="200"/>
        <w:rPr>
          <w:sz w:val="24"/>
          <w:szCs w:val="24"/>
        </w:rPr>
      </w:pPr>
      <w:r>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pPr>
        <w:spacing w:line="480" w:lineRule="exact"/>
        <w:ind w:firstLine="480" w:firstLineChars="200"/>
        <w:rPr>
          <w:sz w:val="24"/>
          <w:szCs w:val="24"/>
        </w:rPr>
      </w:pPr>
      <w:r>
        <w:rPr>
          <w:sz w:val="24"/>
          <w:szCs w:val="24"/>
        </w:rPr>
        <w:t>（十四）接受采购人的监督；</w:t>
      </w:r>
    </w:p>
    <w:p>
      <w:pPr>
        <w:spacing w:line="480" w:lineRule="exact"/>
        <w:ind w:firstLine="480" w:firstLineChars="200"/>
        <w:rPr>
          <w:sz w:val="24"/>
          <w:szCs w:val="24"/>
        </w:rPr>
      </w:pPr>
      <w:r>
        <w:rPr>
          <w:sz w:val="24"/>
          <w:szCs w:val="24"/>
        </w:rPr>
        <w:t>（十五）接受物业管理行政主管部门的监督指导；</w:t>
      </w:r>
    </w:p>
    <w:p>
      <w:pPr>
        <w:spacing w:line="480" w:lineRule="exact"/>
        <w:ind w:firstLine="480" w:firstLineChars="200"/>
        <w:rPr>
          <w:sz w:val="24"/>
          <w:szCs w:val="24"/>
        </w:rPr>
      </w:pPr>
      <w:r>
        <w:rPr>
          <w:sz w:val="24"/>
          <w:szCs w:val="24"/>
        </w:rPr>
        <w:t>（十六）其他：</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第六条物业管理服务费用</w:t>
      </w:r>
    </w:p>
    <w:p>
      <w:pPr>
        <w:spacing w:line="480" w:lineRule="exact"/>
        <w:ind w:firstLine="480" w:firstLineChars="200"/>
        <w:rPr>
          <w:sz w:val="24"/>
          <w:szCs w:val="24"/>
        </w:rPr>
      </w:pPr>
      <w:r>
        <w:rPr>
          <w:sz w:val="24"/>
          <w:szCs w:val="24"/>
        </w:rPr>
        <w:t>本物业管理区域内的物业管理服务费采取包干制的形式，年服务费用为大写：（小写：）。</w:t>
      </w:r>
    </w:p>
    <w:p>
      <w:pPr>
        <w:spacing w:line="480" w:lineRule="exact"/>
        <w:ind w:firstLine="480" w:firstLineChars="200"/>
        <w:rPr>
          <w:sz w:val="24"/>
          <w:szCs w:val="24"/>
        </w:rPr>
      </w:pPr>
      <w:r>
        <w:rPr>
          <w:sz w:val="24"/>
          <w:szCs w:val="24"/>
        </w:rPr>
        <w:t>乙方按照上述标准收取物业服务费用，并按本合同约定的服务内容和质量标准提供服务，盈余或亏损由乙方享有或承担。</w:t>
      </w:r>
    </w:p>
    <w:p>
      <w:pPr>
        <w:spacing w:line="480" w:lineRule="exact"/>
        <w:ind w:firstLine="480" w:firstLineChars="200"/>
        <w:rPr>
          <w:spacing w:val="-20"/>
          <w:sz w:val="24"/>
          <w:szCs w:val="24"/>
          <w:u w:val="single"/>
        </w:rPr>
      </w:pPr>
      <w:r>
        <w:rPr>
          <w:sz w:val="24"/>
          <w:szCs w:val="24"/>
        </w:rPr>
        <w:t>付款方式如下：</w:t>
      </w:r>
    </w:p>
    <w:p>
      <w:pPr>
        <w:spacing w:line="480" w:lineRule="exact"/>
        <w:ind w:firstLine="400" w:firstLineChars="200"/>
        <w:rPr>
          <w:spacing w:val="-20"/>
          <w:sz w:val="24"/>
          <w:szCs w:val="24"/>
          <w:u w:val="single"/>
        </w:rPr>
      </w:pPr>
    </w:p>
    <w:p>
      <w:pPr>
        <w:spacing w:line="480" w:lineRule="exact"/>
        <w:ind w:firstLine="480" w:firstLineChars="200"/>
        <w:rPr>
          <w:sz w:val="24"/>
          <w:szCs w:val="24"/>
        </w:rPr>
      </w:pPr>
      <w:r>
        <w:rPr>
          <w:sz w:val="24"/>
          <w:szCs w:val="24"/>
        </w:rPr>
        <w:t>第七条物业管理用房</w:t>
      </w:r>
    </w:p>
    <w:p>
      <w:pPr>
        <w:spacing w:line="480" w:lineRule="exact"/>
        <w:ind w:firstLine="480" w:firstLineChars="200"/>
        <w:rPr>
          <w:sz w:val="24"/>
          <w:szCs w:val="24"/>
        </w:rPr>
      </w:pPr>
      <w:r>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pPr>
        <w:spacing w:line="480" w:lineRule="exact"/>
        <w:ind w:firstLine="480" w:firstLineChars="200"/>
        <w:rPr>
          <w:sz w:val="24"/>
          <w:szCs w:val="24"/>
        </w:rPr>
      </w:pPr>
      <w:r>
        <w:rPr>
          <w:sz w:val="24"/>
          <w:szCs w:val="24"/>
        </w:rPr>
        <w:t>第八条物业及物业管理交接</w:t>
      </w:r>
    </w:p>
    <w:p>
      <w:pPr>
        <w:spacing w:line="480" w:lineRule="exact"/>
        <w:ind w:firstLine="480" w:firstLineChars="200"/>
        <w:rPr>
          <w:sz w:val="24"/>
          <w:szCs w:val="24"/>
        </w:rPr>
      </w:pPr>
      <w:r>
        <w:rPr>
          <w:sz w:val="24"/>
          <w:szCs w:val="24"/>
        </w:rPr>
        <w:t>自本合同生效之日起，由甲方向乙方移交下列资金、物品和资料：</w:t>
      </w:r>
    </w:p>
    <w:p>
      <w:pPr>
        <w:spacing w:line="480" w:lineRule="exact"/>
        <w:ind w:firstLine="480" w:firstLineChars="200"/>
        <w:rPr>
          <w:sz w:val="24"/>
          <w:szCs w:val="24"/>
        </w:rPr>
      </w:pPr>
      <w:r>
        <w:rPr>
          <w:sz w:val="24"/>
          <w:szCs w:val="24"/>
        </w:rPr>
        <w:t>（一）竣工总平面图，单体建筑、结构、设备的竣工图，附属配套设施、地下管网工程竣工图等资料；</w:t>
      </w:r>
    </w:p>
    <w:p>
      <w:pPr>
        <w:spacing w:line="480" w:lineRule="exact"/>
        <w:ind w:firstLine="480" w:firstLineChars="200"/>
        <w:rPr>
          <w:sz w:val="24"/>
          <w:szCs w:val="24"/>
        </w:rPr>
      </w:pPr>
      <w:r>
        <w:rPr>
          <w:sz w:val="24"/>
          <w:szCs w:val="24"/>
        </w:rPr>
        <w:t>（二）物业竣工验收资料；</w:t>
      </w:r>
    </w:p>
    <w:p>
      <w:pPr>
        <w:spacing w:line="480" w:lineRule="exact"/>
        <w:ind w:firstLine="480" w:firstLineChars="200"/>
        <w:rPr>
          <w:sz w:val="24"/>
          <w:szCs w:val="24"/>
        </w:rPr>
      </w:pPr>
      <w:r>
        <w:rPr>
          <w:sz w:val="24"/>
          <w:szCs w:val="24"/>
        </w:rPr>
        <w:t>（三）共用设施设备安装、使用、维护和保养技术资料；</w:t>
      </w:r>
    </w:p>
    <w:p>
      <w:pPr>
        <w:spacing w:line="480" w:lineRule="exact"/>
        <w:ind w:firstLine="480" w:firstLineChars="200"/>
        <w:rPr>
          <w:sz w:val="24"/>
          <w:szCs w:val="24"/>
        </w:rPr>
      </w:pPr>
      <w:r>
        <w:rPr>
          <w:sz w:val="24"/>
          <w:szCs w:val="24"/>
        </w:rPr>
        <w:t>（四）物业质量保证书和使用说明书；</w:t>
      </w:r>
    </w:p>
    <w:p>
      <w:pPr>
        <w:spacing w:line="480" w:lineRule="exact"/>
        <w:ind w:firstLine="480" w:firstLineChars="200"/>
        <w:rPr>
          <w:sz w:val="24"/>
          <w:szCs w:val="24"/>
        </w:rPr>
      </w:pPr>
      <w:r>
        <w:rPr>
          <w:sz w:val="24"/>
          <w:szCs w:val="24"/>
        </w:rPr>
        <w:t>（五）物业管理服务费等余额；</w:t>
      </w:r>
    </w:p>
    <w:p>
      <w:pPr>
        <w:spacing w:line="480" w:lineRule="exact"/>
        <w:ind w:firstLine="480" w:firstLineChars="200"/>
        <w:rPr>
          <w:sz w:val="24"/>
          <w:szCs w:val="24"/>
        </w:rPr>
      </w:pPr>
      <w:r>
        <w:rPr>
          <w:sz w:val="24"/>
          <w:szCs w:val="24"/>
        </w:rPr>
        <w:t>（六）物业管理需要的其他资料；</w:t>
      </w:r>
    </w:p>
    <w:p>
      <w:pPr>
        <w:spacing w:line="480" w:lineRule="exact"/>
        <w:ind w:firstLine="480" w:firstLineChars="200"/>
        <w:rPr>
          <w:sz w:val="24"/>
          <w:szCs w:val="24"/>
        </w:rPr>
      </w:pPr>
      <w:r>
        <w:rPr>
          <w:sz w:val="24"/>
          <w:szCs w:val="24"/>
        </w:rPr>
        <w:t>（七）物业管理用房和属于采购人的场地、设施设备。</w:t>
      </w:r>
    </w:p>
    <w:p>
      <w:pPr>
        <w:spacing w:line="480" w:lineRule="exact"/>
        <w:ind w:firstLine="480" w:firstLineChars="200"/>
        <w:rPr>
          <w:sz w:val="24"/>
          <w:szCs w:val="24"/>
        </w:rPr>
      </w:pPr>
      <w:r>
        <w:rPr>
          <w:sz w:val="24"/>
          <w:szCs w:val="24"/>
        </w:rPr>
        <w:t>第九条采购人装饰装修房屋，应当遵守国家和本市有关规定。</w:t>
      </w:r>
    </w:p>
    <w:p>
      <w:pPr>
        <w:spacing w:line="480" w:lineRule="exact"/>
        <w:ind w:firstLine="480" w:firstLineChars="200"/>
        <w:rPr>
          <w:sz w:val="24"/>
          <w:szCs w:val="24"/>
        </w:rPr>
      </w:pPr>
      <w:r>
        <w:rPr>
          <w:sz w:val="24"/>
          <w:szCs w:val="24"/>
        </w:rPr>
        <w:t>采购人应当与物业服务企业签订装饰装修管理服务协议。装饰装修管理服务协议一般包括装饰装修工程的内容和期限、允许施工的时间、废弃物的清运和处置以及相关费用等。</w:t>
      </w:r>
    </w:p>
    <w:p>
      <w:pPr>
        <w:spacing w:line="480" w:lineRule="exact"/>
        <w:ind w:firstLine="480" w:firstLineChars="200"/>
        <w:rPr>
          <w:sz w:val="24"/>
          <w:szCs w:val="24"/>
        </w:rPr>
      </w:pPr>
      <w:r>
        <w:rPr>
          <w:sz w:val="24"/>
          <w:szCs w:val="24"/>
        </w:rPr>
        <w:t>第十条违约责任</w:t>
      </w:r>
    </w:p>
    <w:p>
      <w:pPr>
        <w:spacing w:line="480" w:lineRule="exact"/>
        <w:ind w:firstLine="480" w:firstLineChars="200"/>
        <w:rPr>
          <w:sz w:val="24"/>
          <w:szCs w:val="24"/>
        </w:rPr>
      </w:pPr>
      <w:r>
        <w:rPr>
          <w:sz w:val="24"/>
          <w:szCs w:val="24"/>
        </w:rPr>
        <w:t>（一）甲方违反合同第四条的约定，使乙方未完成规定的管理服务目标，乙方有权要求甲方解决，逾期未解决的，甲方承担违约责任；造成乙方经济损失的，甲方应当给予乙方经济赔偿。</w:t>
      </w:r>
    </w:p>
    <w:p>
      <w:pPr>
        <w:spacing w:line="480" w:lineRule="exact"/>
        <w:ind w:firstLine="480" w:firstLineChars="200"/>
        <w:rPr>
          <w:sz w:val="24"/>
          <w:szCs w:val="24"/>
        </w:rPr>
      </w:pPr>
      <w:r>
        <w:rPr>
          <w:sz w:val="24"/>
          <w:szCs w:val="24"/>
        </w:rPr>
        <w:t>（二）乙方违反本合同第二、五条的约定，未能达到约定的管理服务目标，甲方有权要求乙方在日内整改，逾期未整改的，乙方承担违约责任；造成甲方经济损失的，乙方应当给予甲方经济赔偿。</w:t>
      </w:r>
    </w:p>
    <w:p>
      <w:pPr>
        <w:spacing w:line="480" w:lineRule="exact"/>
        <w:ind w:firstLine="480" w:firstLineChars="200"/>
        <w:rPr>
          <w:sz w:val="24"/>
          <w:szCs w:val="24"/>
        </w:rPr>
      </w:pPr>
      <w:r>
        <w:rPr>
          <w:sz w:val="24"/>
          <w:szCs w:val="24"/>
        </w:rPr>
        <w:t>（三）乙方违反本合同第六条约定，擅自提高收费标准的，甲方有权要求乙方清退；造成甲方经济损失的，乙方应当给予甲方经济赔偿。</w:t>
      </w:r>
    </w:p>
    <w:p>
      <w:pPr>
        <w:spacing w:line="480" w:lineRule="exact"/>
        <w:ind w:firstLine="480" w:firstLineChars="200"/>
        <w:rPr>
          <w:sz w:val="24"/>
          <w:szCs w:val="24"/>
        </w:rPr>
      </w:pPr>
      <w:r>
        <w:rPr>
          <w:sz w:val="24"/>
          <w:szCs w:val="24"/>
        </w:rPr>
        <w:t>（四）合同期满，乙方未按规定时间向甲方办理移交事项，乙方向甲方支付违约金元。</w:t>
      </w:r>
    </w:p>
    <w:p>
      <w:pPr>
        <w:spacing w:line="480" w:lineRule="exact"/>
        <w:ind w:firstLine="480" w:firstLineChars="200"/>
        <w:rPr>
          <w:sz w:val="24"/>
          <w:szCs w:val="24"/>
        </w:rPr>
      </w:pPr>
      <w:r>
        <w:rPr>
          <w:sz w:val="24"/>
          <w:szCs w:val="24"/>
        </w:rPr>
        <w:t>（五）若采购人部分人员拒绝、阻碍乙方对物业共用部位、共用设施设备进行维修、养护，造成损失的，甲方应当承担赔偿责任。</w:t>
      </w:r>
    </w:p>
    <w:p>
      <w:pPr>
        <w:spacing w:line="480" w:lineRule="exact"/>
        <w:ind w:firstLine="480" w:firstLineChars="200"/>
        <w:rPr>
          <w:sz w:val="24"/>
          <w:szCs w:val="24"/>
        </w:rPr>
      </w:pPr>
      <w:r>
        <w:rPr>
          <w:sz w:val="24"/>
          <w:szCs w:val="24"/>
        </w:rPr>
        <w:t>（六）甲、乙任何一方无正当理由提前终止合同的，应当向对方支付    元的违约金；违约方还应当承担超过违约金部分的经济损失。</w:t>
      </w:r>
    </w:p>
    <w:p>
      <w:pPr>
        <w:spacing w:line="480" w:lineRule="exact"/>
        <w:ind w:firstLine="480" w:firstLineChars="200"/>
        <w:rPr>
          <w:sz w:val="24"/>
          <w:szCs w:val="24"/>
        </w:rPr>
      </w:pPr>
      <w:r>
        <w:rPr>
          <w:sz w:val="24"/>
          <w:szCs w:val="24"/>
        </w:rPr>
        <w:t>（七）其他：</w:t>
      </w:r>
    </w:p>
    <w:p>
      <w:pPr>
        <w:spacing w:line="480" w:lineRule="exact"/>
        <w:ind w:firstLine="480" w:firstLineChars="200"/>
        <w:rPr>
          <w:sz w:val="24"/>
          <w:szCs w:val="24"/>
        </w:rPr>
      </w:pPr>
    </w:p>
    <w:p>
      <w:pPr>
        <w:spacing w:line="480" w:lineRule="exact"/>
        <w:ind w:firstLine="480" w:firstLineChars="200"/>
        <w:rPr>
          <w:sz w:val="24"/>
          <w:szCs w:val="24"/>
        </w:rPr>
      </w:pPr>
      <w:r>
        <w:rPr>
          <w:sz w:val="24"/>
          <w:szCs w:val="24"/>
        </w:rPr>
        <w:t>第十一条质量纠纷的约定</w:t>
      </w:r>
    </w:p>
    <w:p>
      <w:pPr>
        <w:spacing w:line="480" w:lineRule="exact"/>
        <w:ind w:firstLine="480" w:firstLineChars="200"/>
        <w:rPr>
          <w:sz w:val="24"/>
          <w:szCs w:val="24"/>
        </w:rPr>
      </w:pPr>
      <w:r>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pPr>
        <w:spacing w:line="480" w:lineRule="exact"/>
        <w:ind w:firstLine="480" w:firstLineChars="200"/>
        <w:rPr>
          <w:sz w:val="24"/>
          <w:szCs w:val="24"/>
        </w:rPr>
      </w:pPr>
      <w:r>
        <w:rPr>
          <w:sz w:val="24"/>
          <w:szCs w:val="24"/>
        </w:rPr>
        <w:t>第十二条不可抗力的约定</w:t>
      </w:r>
    </w:p>
    <w:p>
      <w:pPr>
        <w:spacing w:line="480" w:lineRule="exact"/>
        <w:ind w:firstLine="480" w:firstLineChars="200"/>
        <w:rPr>
          <w:sz w:val="24"/>
          <w:szCs w:val="24"/>
        </w:rPr>
      </w:pPr>
      <w:r>
        <w:rPr>
          <w:sz w:val="24"/>
          <w:szCs w:val="24"/>
        </w:rPr>
        <w:t>本合同执行期间，如遇不可抗力，致使合同无法履行时，双方应当按有关法律规定及时协商处理。</w:t>
      </w:r>
    </w:p>
    <w:p>
      <w:pPr>
        <w:spacing w:line="480" w:lineRule="exact"/>
        <w:ind w:firstLine="480" w:firstLineChars="200"/>
        <w:rPr>
          <w:sz w:val="24"/>
          <w:szCs w:val="24"/>
        </w:rPr>
      </w:pPr>
      <w:r>
        <w:rPr>
          <w:sz w:val="24"/>
          <w:szCs w:val="24"/>
        </w:rPr>
        <w:t>第十三条免责条款</w:t>
      </w:r>
    </w:p>
    <w:p>
      <w:pPr>
        <w:spacing w:line="480" w:lineRule="exact"/>
        <w:ind w:firstLine="480" w:firstLineChars="200"/>
        <w:rPr>
          <w:sz w:val="24"/>
          <w:szCs w:val="24"/>
        </w:rPr>
      </w:pPr>
      <w:r>
        <w:rPr>
          <w:sz w:val="24"/>
          <w:szCs w:val="24"/>
        </w:rPr>
        <w:t>以下情况乙方不承担责任：</w:t>
      </w:r>
    </w:p>
    <w:p>
      <w:pPr>
        <w:spacing w:line="480" w:lineRule="exact"/>
        <w:ind w:firstLine="480" w:firstLineChars="200"/>
        <w:rPr>
          <w:sz w:val="24"/>
          <w:szCs w:val="24"/>
        </w:rPr>
      </w:pPr>
      <w:r>
        <w:rPr>
          <w:sz w:val="24"/>
          <w:szCs w:val="24"/>
        </w:rPr>
        <w:t>1、乙方已履行本合同约定义务，但因物业本身固有瑕疵造成损失的；</w:t>
      </w:r>
    </w:p>
    <w:p>
      <w:pPr>
        <w:spacing w:line="480" w:lineRule="exact"/>
        <w:ind w:firstLine="480" w:firstLineChars="200"/>
        <w:rPr>
          <w:sz w:val="24"/>
          <w:szCs w:val="24"/>
        </w:rPr>
      </w:pPr>
      <w:r>
        <w:rPr>
          <w:sz w:val="24"/>
          <w:szCs w:val="24"/>
        </w:rPr>
        <w:t>2、因维修养护物业共用部位、共用设施设备需要且事先已告知采购人，暂时停水、停电、停止共用设施设备使用等造成损失的；</w:t>
      </w:r>
    </w:p>
    <w:p>
      <w:pPr>
        <w:spacing w:line="480" w:lineRule="exact"/>
        <w:ind w:firstLine="480" w:firstLineChars="200"/>
        <w:rPr>
          <w:sz w:val="24"/>
          <w:szCs w:val="24"/>
        </w:rPr>
      </w:pPr>
      <w:r>
        <w:rPr>
          <w:sz w:val="24"/>
          <w:szCs w:val="24"/>
        </w:rPr>
        <w:t>3、因非乙方责任出现供水、供电、供气、供热、通讯、有线电视及其他共用设施设备运行障碍造成损失的。</w:t>
      </w:r>
    </w:p>
    <w:p>
      <w:pPr>
        <w:spacing w:line="480" w:lineRule="exact"/>
        <w:ind w:firstLine="480" w:firstLineChars="200"/>
        <w:rPr>
          <w:sz w:val="24"/>
          <w:szCs w:val="24"/>
        </w:rPr>
      </w:pPr>
      <w:r>
        <w:rPr>
          <w:sz w:val="24"/>
          <w:szCs w:val="24"/>
        </w:rPr>
        <w:t>第十四条合同的解除</w:t>
      </w:r>
    </w:p>
    <w:p>
      <w:pPr>
        <w:spacing w:line="480" w:lineRule="exact"/>
        <w:ind w:firstLine="480" w:firstLineChars="200"/>
        <w:rPr>
          <w:sz w:val="24"/>
          <w:szCs w:val="24"/>
        </w:rPr>
      </w:pPr>
      <w:r>
        <w:rPr>
          <w:sz w:val="24"/>
          <w:szCs w:val="24"/>
        </w:rPr>
        <w:t>本合同因任何一方原因而无法继续履行的，解除合同的一方应当在三个月前将解除时间、原因书面告知合同另一方，解除前应报请政府采购主管部门备案（通知）。</w:t>
      </w:r>
    </w:p>
    <w:p>
      <w:pPr>
        <w:spacing w:line="480" w:lineRule="exact"/>
        <w:ind w:firstLine="480" w:firstLineChars="200"/>
        <w:rPr>
          <w:sz w:val="24"/>
          <w:szCs w:val="24"/>
        </w:rPr>
      </w:pPr>
      <w:r>
        <w:rPr>
          <w:sz w:val="24"/>
          <w:szCs w:val="24"/>
        </w:rPr>
        <w:t>合同解除后，按照有关规定办理相关交接手续。</w:t>
      </w:r>
    </w:p>
    <w:p>
      <w:pPr>
        <w:spacing w:line="480" w:lineRule="exact"/>
        <w:ind w:firstLine="480" w:firstLineChars="200"/>
        <w:rPr>
          <w:sz w:val="24"/>
          <w:szCs w:val="24"/>
        </w:rPr>
      </w:pPr>
      <w:r>
        <w:rPr>
          <w:sz w:val="24"/>
          <w:szCs w:val="24"/>
        </w:rPr>
        <w:t>第十五条争议处理</w:t>
      </w:r>
    </w:p>
    <w:p>
      <w:pPr>
        <w:spacing w:line="480" w:lineRule="exact"/>
        <w:ind w:firstLine="480" w:firstLineChars="200"/>
        <w:rPr>
          <w:sz w:val="24"/>
          <w:szCs w:val="24"/>
        </w:rPr>
      </w:pPr>
      <w:r>
        <w:rPr>
          <w:sz w:val="24"/>
          <w:szCs w:val="24"/>
        </w:rPr>
        <w:t>由于甲、乙双方在履行本合同过程中出现问题，由甲、乙双方直接交涉解决，包括采用诉诸法律的手段。</w:t>
      </w:r>
    </w:p>
    <w:p>
      <w:pPr>
        <w:spacing w:line="480" w:lineRule="exact"/>
        <w:ind w:firstLine="480" w:firstLineChars="200"/>
        <w:rPr>
          <w:sz w:val="24"/>
          <w:szCs w:val="24"/>
        </w:rPr>
      </w:pPr>
      <w:r>
        <w:rPr>
          <w:color w:val="000000"/>
          <w:sz w:val="24"/>
          <w:szCs w:val="24"/>
        </w:rPr>
        <w:t>本合同未作明示约定，而又有相关法律、法规规定的，从其规定。本合同发生争议产生的诉讼，由合同履行所在地人民法院管辖。</w:t>
      </w:r>
    </w:p>
    <w:p>
      <w:pPr>
        <w:spacing w:line="480" w:lineRule="exact"/>
        <w:ind w:firstLine="480" w:firstLineChars="200"/>
        <w:rPr>
          <w:sz w:val="24"/>
          <w:szCs w:val="24"/>
        </w:rPr>
      </w:pPr>
      <w:r>
        <w:rPr>
          <w:sz w:val="24"/>
          <w:szCs w:val="24"/>
        </w:rPr>
        <w:t>第十六条合同附件</w:t>
      </w:r>
    </w:p>
    <w:p>
      <w:pPr>
        <w:spacing w:line="480" w:lineRule="exact"/>
        <w:ind w:firstLine="480" w:firstLineChars="200"/>
        <w:rPr>
          <w:sz w:val="24"/>
          <w:szCs w:val="24"/>
        </w:rPr>
      </w:pPr>
      <w:r>
        <w:rPr>
          <w:sz w:val="24"/>
          <w:szCs w:val="24"/>
        </w:rPr>
        <w:t>有关涉及本合同乙方向天津市政府采购中心所提交的响应文件及有关澄清资料和服务承诺均视为本合同不可分割的部分，对乙方具有约束力。</w:t>
      </w:r>
    </w:p>
    <w:p>
      <w:pPr>
        <w:spacing w:line="480" w:lineRule="exact"/>
        <w:ind w:firstLine="480" w:firstLineChars="200"/>
        <w:rPr>
          <w:sz w:val="24"/>
          <w:szCs w:val="24"/>
        </w:rPr>
      </w:pPr>
      <w:r>
        <w:rPr>
          <w:sz w:val="24"/>
          <w:szCs w:val="24"/>
        </w:rPr>
        <w:t>本合同及其附件和合同特殊条款中未规定的事宜，均遵照国家和本市有关法律、法规和规章执行。</w:t>
      </w:r>
    </w:p>
    <w:p>
      <w:pPr>
        <w:spacing w:line="480" w:lineRule="exact"/>
        <w:ind w:firstLine="480" w:firstLineChars="200"/>
        <w:rPr>
          <w:sz w:val="24"/>
          <w:szCs w:val="24"/>
        </w:rPr>
      </w:pPr>
      <w:r>
        <w:rPr>
          <w:sz w:val="24"/>
          <w:szCs w:val="24"/>
        </w:rPr>
        <w:t>第十七条合同生效</w:t>
      </w:r>
    </w:p>
    <w:p>
      <w:pPr>
        <w:spacing w:line="480" w:lineRule="exact"/>
        <w:ind w:firstLine="480" w:firstLineChars="200"/>
        <w:rPr>
          <w:sz w:val="24"/>
          <w:szCs w:val="24"/>
        </w:rPr>
      </w:pPr>
      <w:r>
        <w:rPr>
          <w:sz w:val="24"/>
          <w:szCs w:val="24"/>
        </w:rPr>
        <w:t>本合同一式  份，甲方持  份，乙方持  份，均具同等效力，签字盖章后生效。</w:t>
      </w:r>
    </w:p>
    <w:p>
      <w:pPr>
        <w:spacing w:line="480" w:lineRule="exact"/>
        <w:ind w:firstLine="480" w:firstLineChars="200"/>
        <w:rPr>
          <w:sz w:val="24"/>
          <w:szCs w:val="24"/>
        </w:rPr>
      </w:pPr>
    </w:p>
    <w:p>
      <w:pPr>
        <w:tabs>
          <w:tab w:val="left" w:pos="360"/>
        </w:tabs>
        <w:spacing w:line="516" w:lineRule="exact"/>
        <w:ind w:firstLine="480" w:firstLineChars="200"/>
        <w:rPr>
          <w:color w:val="000000"/>
          <w:sz w:val="24"/>
          <w:szCs w:val="24"/>
        </w:rPr>
      </w:pPr>
      <w:r>
        <w:rPr>
          <w:sz w:val="24"/>
          <w:szCs w:val="24"/>
        </w:rPr>
        <w:t>采购人-甲方（公章）</w:t>
      </w:r>
      <w:r>
        <w:rPr>
          <w:color w:val="000000"/>
          <w:sz w:val="24"/>
          <w:szCs w:val="24"/>
        </w:rPr>
        <w:t xml:space="preserve">：         </w:t>
      </w:r>
      <w:r>
        <w:rPr>
          <w:sz w:val="24"/>
          <w:szCs w:val="24"/>
        </w:rPr>
        <w:t>供应商-乙方（公章）</w:t>
      </w:r>
      <w:r>
        <w:rPr>
          <w:color w:val="000000"/>
          <w:sz w:val="24"/>
          <w:szCs w:val="24"/>
        </w:rPr>
        <w:t>：</w:t>
      </w:r>
    </w:p>
    <w:p>
      <w:pPr>
        <w:tabs>
          <w:tab w:val="left" w:pos="0"/>
          <w:tab w:val="left" w:pos="315"/>
        </w:tabs>
        <w:spacing w:line="516" w:lineRule="exact"/>
        <w:ind w:firstLine="480" w:firstLineChars="200"/>
        <w:rPr>
          <w:color w:val="000000"/>
          <w:sz w:val="24"/>
          <w:szCs w:val="24"/>
        </w:rPr>
      </w:pPr>
      <w:r>
        <w:rPr>
          <w:color w:val="000000"/>
          <w:sz w:val="24"/>
          <w:szCs w:val="24"/>
        </w:rPr>
        <w:t>地址：                       地址：</w:t>
      </w:r>
    </w:p>
    <w:p>
      <w:pPr>
        <w:tabs>
          <w:tab w:val="left" w:pos="0"/>
          <w:tab w:val="left" w:pos="315"/>
        </w:tabs>
        <w:spacing w:line="516" w:lineRule="exact"/>
        <w:ind w:firstLine="480" w:firstLineChars="200"/>
        <w:rPr>
          <w:color w:val="000000"/>
          <w:sz w:val="24"/>
          <w:szCs w:val="24"/>
        </w:rPr>
      </w:pPr>
      <w:r>
        <w:rPr>
          <w:color w:val="000000"/>
          <w:sz w:val="24"/>
          <w:szCs w:val="24"/>
        </w:rPr>
        <w:t>法定代表人：                 法定代表人：</w:t>
      </w:r>
    </w:p>
    <w:p>
      <w:pPr>
        <w:tabs>
          <w:tab w:val="left" w:pos="360"/>
        </w:tabs>
        <w:spacing w:line="516" w:lineRule="exact"/>
        <w:ind w:firstLine="480" w:firstLineChars="200"/>
        <w:rPr>
          <w:color w:val="000000"/>
          <w:sz w:val="24"/>
          <w:szCs w:val="24"/>
        </w:rPr>
      </w:pPr>
      <w:r>
        <w:rPr>
          <w:color w:val="000000"/>
          <w:sz w:val="24"/>
          <w:szCs w:val="24"/>
        </w:rPr>
        <w:t>委托代理人：                 委托代理人：</w:t>
      </w:r>
    </w:p>
    <w:p>
      <w:pPr>
        <w:tabs>
          <w:tab w:val="left" w:pos="360"/>
        </w:tabs>
        <w:spacing w:line="516" w:lineRule="exact"/>
        <w:ind w:firstLine="480" w:firstLineChars="200"/>
        <w:rPr>
          <w:color w:val="000000"/>
          <w:sz w:val="24"/>
          <w:szCs w:val="24"/>
        </w:rPr>
      </w:pPr>
      <w:r>
        <w:rPr>
          <w:color w:val="000000"/>
          <w:sz w:val="24"/>
          <w:szCs w:val="24"/>
        </w:rPr>
        <w:t>电话：                       电话：</w:t>
      </w:r>
    </w:p>
    <w:p>
      <w:pPr>
        <w:tabs>
          <w:tab w:val="left" w:pos="360"/>
        </w:tabs>
        <w:spacing w:line="516" w:lineRule="exact"/>
        <w:ind w:firstLine="480" w:firstLineChars="200"/>
        <w:rPr>
          <w:color w:val="000000"/>
          <w:sz w:val="24"/>
          <w:szCs w:val="24"/>
        </w:rPr>
      </w:pPr>
      <w:r>
        <w:rPr>
          <w:color w:val="000000"/>
          <w:sz w:val="24"/>
          <w:szCs w:val="24"/>
        </w:rPr>
        <w:t>时间：年月日</w:t>
      </w:r>
    </w:p>
    <w:p>
      <w:pPr>
        <w:spacing w:line="480" w:lineRule="exact"/>
        <w:ind w:firstLine="480" w:firstLineChars="200"/>
        <w:rPr>
          <w:sz w:val="24"/>
          <w:szCs w:val="24"/>
        </w:rPr>
      </w:pPr>
    </w:p>
    <w:p>
      <w:pPr>
        <w:spacing w:line="480" w:lineRule="exact"/>
        <w:ind w:firstLine="480" w:firstLineChars="200"/>
        <w:rPr>
          <w:sz w:val="24"/>
          <w:szCs w:val="24"/>
        </w:rPr>
      </w:pPr>
    </w:p>
    <w:p>
      <w:pPr>
        <w:spacing w:line="700" w:lineRule="exact"/>
        <w:rPr>
          <w:sz w:val="24"/>
          <w:szCs w:val="24"/>
        </w:rPr>
      </w:pPr>
    </w:p>
    <w:p>
      <w:pPr>
        <w:spacing w:line="700" w:lineRule="exact"/>
        <w:rPr>
          <w:sz w:val="24"/>
          <w:szCs w:val="24"/>
        </w:rPr>
      </w:pPr>
    </w:p>
    <w:p>
      <w:pPr>
        <w:spacing w:line="700" w:lineRule="exact"/>
        <w:rPr>
          <w:sz w:val="24"/>
          <w:szCs w:val="24"/>
        </w:rPr>
      </w:pPr>
    </w:p>
    <w:p>
      <w:pPr>
        <w:spacing w:line="700" w:lineRule="exact"/>
        <w:rPr>
          <w:sz w:val="24"/>
          <w:szCs w:val="24"/>
        </w:rPr>
      </w:pPr>
    </w:p>
    <w:p>
      <w:pPr>
        <w:spacing w:line="700" w:lineRule="exact"/>
        <w:rPr>
          <w:sz w:val="24"/>
          <w:szCs w:val="24"/>
        </w:rPr>
      </w:pPr>
    </w:p>
    <w:p>
      <w:pPr>
        <w:spacing w:line="700" w:lineRule="exact"/>
        <w:rPr>
          <w:sz w:val="24"/>
          <w:szCs w:val="24"/>
        </w:rPr>
      </w:pPr>
    </w:p>
    <w:p>
      <w:pPr>
        <w:jc w:val="center"/>
        <w:rPr>
          <w:sz w:val="24"/>
          <w:szCs w:val="24"/>
        </w:rPr>
      </w:pPr>
    </w:p>
    <w:p>
      <w:pPr>
        <w:jc w:val="center"/>
        <w:rPr>
          <w:sz w:val="24"/>
          <w:szCs w:val="24"/>
        </w:rPr>
      </w:pPr>
    </w:p>
    <w:p>
      <w:pPr>
        <w:jc w:val="center"/>
        <w:rPr>
          <w:b/>
          <w:bCs/>
          <w:sz w:val="24"/>
          <w:szCs w:val="24"/>
        </w:rPr>
      </w:pPr>
      <w:r>
        <w:rPr>
          <w:b/>
          <w:bCs/>
          <w:sz w:val="24"/>
          <w:szCs w:val="24"/>
        </w:rPr>
        <w:t>合同特殊条款</w:t>
      </w:r>
    </w:p>
    <w:p>
      <w:pPr>
        <w:tabs>
          <w:tab w:val="left" w:pos="360"/>
        </w:tabs>
        <w:spacing w:line="520" w:lineRule="exact"/>
        <w:ind w:firstLine="410" w:firstLineChars="171"/>
        <w:rPr>
          <w:color w:val="000000"/>
          <w:sz w:val="24"/>
          <w:szCs w:val="24"/>
        </w:rPr>
      </w:pPr>
    </w:p>
    <w:p>
      <w:pPr>
        <w:tabs>
          <w:tab w:val="left" w:pos="360"/>
        </w:tabs>
        <w:spacing w:line="520" w:lineRule="exact"/>
        <w:ind w:firstLine="410" w:firstLineChars="171"/>
        <w:rPr>
          <w:color w:val="000000"/>
          <w:sz w:val="24"/>
          <w:szCs w:val="24"/>
        </w:rPr>
      </w:pPr>
      <w:r>
        <w:rPr>
          <w:color w:val="000000"/>
          <w:sz w:val="24"/>
          <w:szCs w:val="24"/>
        </w:rPr>
        <w:t>合同特殊条款是合同一般条款的补充和修改。如果两者之间有抵触，应以特殊条款为准。</w:t>
      </w:r>
    </w:p>
    <w:p>
      <w:pPr>
        <w:tabs>
          <w:tab w:val="left" w:pos="360"/>
        </w:tabs>
        <w:spacing w:line="520" w:lineRule="exact"/>
        <w:ind w:firstLine="410" w:firstLineChars="171"/>
        <w:rPr>
          <w:color w:val="000000"/>
          <w:sz w:val="24"/>
          <w:szCs w:val="24"/>
        </w:rPr>
      </w:pPr>
      <w:r>
        <w:rPr>
          <w:color w:val="000000"/>
          <w:sz w:val="24"/>
          <w:szCs w:val="24"/>
        </w:rPr>
        <w:t>合同特殊条款由甲、乙双方根据采购项目的具体情况协商拟订。</w:t>
      </w:r>
    </w:p>
    <w:p>
      <w:pPr>
        <w:tabs>
          <w:tab w:val="left" w:pos="360"/>
        </w:tabs>
        <w:spacing w:line="520" w:lineRule="exact"/>
        <w:ind w:firstLine="410" w:firstLineChars="171"/>
        <w:rPr>
          <w:sz w:val="24"/>
          <w:szCs w:val="24"/>
        </w:rPr>
      </w:pPr>
    </w:p>
    <w:p>
      <w:pPr>
        <w:tabs>
          <w:tab w:val="left" w:pos="360"/>
        </w:tabs>
        <w:spacing w:line="520" w:lineRule="exact"/>
        <w:ind w:firstLine="410" w:firstLineChars="171"/>
        <w:rPr>
          <w:sz w:val="24"/>
          <w:szCs w:val="24"/>
        </w:rPr>
        <w:sectPr>
          <w:headerReference r:id="rId8" w:type="default"/>
          <w:pgSz w:w="11906" w:h="16838"/>
          <w:pgMar w:top="1440" w:right="1800" w:bottom="1440" w:left="1800" w:header="851" w:footer="992" w:gutter="0"/>
          <w:cols w:space="720" w:num="1"/>
          <w:docGrid w:type="lines" w:linePitch="312" w:charSpace="0"/>
        </w:sectPr>
      </w:pPr>
    </w:p>
    <w:p>
      <w:pPr>
        <w:pStyle w:val="2"/>
        <w:jc w:val="center"/>
      </w:pPr>
      <w:bookmarkStart w:id="7" w:name="_Toc411426753"/>
      <w:r>
        <w:t>第五部分  响应文件格式</w:t>
      </w:r>
      <w:bookmarkEnd w:id="7"/>
    </w:p>
    <w:p>
      <w:pPr>
        <w:autoSpaceDE w:val="0"/>
        <w:autoSpaceDN w:val="0"/>
        <w:adjustRightInd w:val="0"/>
        <w:spacing w:line="520" w:lineRule="exact"/>
        <w:rPr>
          <w:b/>
          <w:kern w:val="0"/>
          <w:sz w:val="24"/>
        </w:rPr>
      </w:pPr>
    </w:p>
    <w:p>
      <w:pPr>
        <w:autoSpaceDE w:val="0"/>
        <w:autoSpaceDN w:val="0"/>
        <w:adjustRightInd w:val="0"/>
        <w:spacing w:line="520" w:lineRule="exact"/>
        <w:rPr>
          <w:b/>
          <w:kern w:val="0"/>
          <w:sz w:val="24"/>
        </w:rPr>
      </w:pPr>
    </w:p>
    <w:p>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pPr>
        <w:autoSpaceDE w:val="0"/>
        <w:autoSpaceDN w:val="0"/>
        <w:adjustRightInd w:val="0"/>
        <w:spacing w:line="520" w:lineRule="exact"/>
        <w:rPr>
          <w:b/>
          <w:kern w:val="0"/>
          <w:sz w:val="24"/>
        </w:rPr>
      </w:pPr>
    </w:p>
    <w:p>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pPr>
        <w:autoSpaceDE w:val="0"/>
        <w:autoSpaceDN w:val="0"/>
        <w:adjustRightInd w:val="0"/>
        <w:spacing w:line="520" w:lineRule="exact"/>
        <w:rPr>
          <w:b/>
          <w:kern w:val="0"/>
          <w:sz w:val="24"/>
        </w:rPr>
      </w:pPr>
    </w:p>
    <w:p>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编 号：</w:t>
      </w:r>
    </w:p>
    <w:p>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名 称：</w:t>
      </w:r>
    </w:p>
    <w:p>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所 投 包 号：</w:t>
      </w:r>
    </w:p>
    <w:p>
      <w:pPr>
        <w:spacing w:before="93" w:beforeLines="30" w:after="218" w:afterLines="70" w:line="540" w:lineRule="exact"/>
        <w:ind w:left="630" w:leftChars="300"/>
        <w:rPr>
          <w:rFonts w:eastAsia="方正楷体简体"/>
          <w:b/>
          <w:sz w:val="34"/>
          <w:szCs w:val="34"/>
        </w:rPr>
      </w:pPr>
      <w:r>
        <w:rPr>
          <w:rFonts w:eastAsia="方正楷体简体"/>
          <w:b/>
          <w:sz w:val="34"/>
          <w:szCs w:val="34"/>
        </w:rPr>
        <w:t>供应商名称：</w:t>
      </w:r>
    </w:p>
    <w:p>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法定代表人姓名：</w:t>
      </w:r>
    </w:p>
    <w:p>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磋商代表人姓名：</w:t>
      </w:r>
    </w:p>
    <w:p>
      <w:pPr>
        <w:spacing w:before="93" w:beforeLines="30" w:after="218" w:afterLines="70" w:line="540" w:lineRule="exact"/>
        <w:ind w:left="630" w:leftChars="300"/>
        <w:rPr>
          <w:rFonts w:eastAsia="方正楷体简体"/>
          <w:b/>
          <w:sz w:val="34"/>
          <w:szCs w:val="34"/>
        </w:rPr>
      </w:pPr>
    </w:p>
    <w:p>
      <w:pPr>
        <w:spacing w:before="93" w:beforeLines="30" w:after="218" w:afterLines="70" w:line="540" w:lineRule="exact"/>
        <w:ind w:left="630" w:leftChars="300"/>
        <w:rPr>
          <w:rFonts w:eastAsia="方正楷体简体"/>
          <w:b/>
          <w:sz w:val="34"/>
          <w:szCs w:val="34"/>
        </w:rPr>
      </w:pPr>
    </w:p>
    <w:p>
      <w:pPr>
        <w:spacing w:before="93" w:beforeLines="30" w:after="218" w:afterLines="70" w:line="540" w:lineRule="exact"/>
        <w:ind w:left="630" w:leftChars="300"/>
        <w:rPr>
          <w:rFonts w:eastAsia="方正楷体简体"/>
          <w:b/>
          <w:sz w:val="34"/>
          <w:szCs w:val="34"/>
        </w:rPr>
      </w:pPr>
      <w:r>
        <w:rPr>
          <w:rFonts w:eastAsia="方正楷体简体"/>
          <w:b/>
          <w:sz w:val="34"/>
          <w:szCs w:val="34"/>
        </w:rPr>
        <w:t>递交日期：</w:t>
      </w:r>
    </w:p>
    <w:p>
      <w:pPr>
        <w:autoSpaceDN w:val="0"/>
        <w:spacing w:line="360" w:lineRule="auto"/>
        <w:jc w:val="center"/>
        <w:rPr>
          <w:b/>
          <w:bCs/>
          <w:sz w:val="24"/>
        </w:rPr>
      </w:pPr>
      <w:r>
        <w:rPr>
          <w:b/>
          <w:sz w:val="24"/>
        </w:rPr>
        <w:br w:type="page"/>
      </w:r>
      <w:r>
        <w:rPr>
          <w:rFonts w:hint="eastAsia"/>
          <w:b/>
          <w:sz w:val="24"/>
        </w:rPr>
        <w:t>第一阶段</w:t>
      </w:r>
      <w:r>
        <w:rPr>
          <w:rFonts w:hint="eastAsia"/>
          <w:b/>
          <w:bCs/>
          <w:sz w:val="24"/>
        </w:rPr>
        <w:t>响应文件总目录</w:t>
      </w:r>
    </w:p>
    <w:p>
      <w:pPr>
        <w:autoSpaceDN w:val="0"/>
        <w:spacing w:line="360" w:lineRule="auto"/>
        <w:jc w:val="center"/>
        <w:rPr>
          <w:b/>
          <w:bCs/>
          <w:sz w:val="24"/>
        </w:rPr>
      </w:pPr>
    </w:p>
    <w:p>
      <w:pPr>
        <w:autoSpaceDN w:val="0"/>
        <w:spacing w:line="360" w:lineRule="auto"/>
        <w:jc w:val="center"/>
        <w:rPr>
          <w:b/>
          <w:bCs/>
          <w:sz w:val="24"/>
        </w:rPr>
      </w:pPr>
      <w:r>
        <w:rPr>
          <w:rFonts w:hint="eastAsia"/>
          <w:b/>
          <w:bCs/>
          <w:sz w:val="24"/>
        </w:rPr>
        <w:t>（投标人自行编制）</w:t>
      </w:r>
    </w:p>
    <w:p>
      <w:pPr>
        <w:widowControl/>
        <w:spacing w:line="360" w:lineRule="auto"/>
        <w:jc w:val="center"/>
        <w:rPr>
          <w:b/>
          <w:sz w:val="24"/>
        </w:rPr>
      </w:pPr>
      <w:r>
        <w:rPr>
          <w:b/>
          <w:sz w:val="24"/>
        </w:rPr>
        <w:br w:type="page"/>
      </w:r>
      <w:r>
        <w:rPr>
          <w:rFonts w:hint="eastAsia"/>
          <w:b/>
          <w:sz w:val="24"/>
        </w:rPr>
        <w:t>评分因素及评标标准页码检索</w:t>
      </w:r>
    </w:p>
    <w:p>
      <w:pPr>
        <w:widowControl/>
        <w:spacing w:line="360" w:lineRule="auto"/>
        <w:jc w:val="center"/>
        <w:rPr>
          <w:b/>
          <w:sz w:val="24"/>
        </w:rPr>
      </w:pPr>
    </w:p>
    <w:p>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pPr>
        <w:spacing w:line="460" w:lineRule="exact"/>
        <w:jc w:val="left"/>
        <w:rPr>
          <w:b/>
          <w:sz w:val="24"/>
        </w:rPr>
      </w:pPr>
      <w:r>
        <w:rPr>
          <w:b/>
          <w:sz w:val="24"/>
        </w:rPr>
        <w:br w:type="page"/>
      </w:r>
      <w:r>
        <w:rPr>
          <w:b/>
          <w:sz w:val="24"/>
        </w:rPr>
        <w:t>附件1</w:t>
      </w:r>
    </w:p>
    <w:p>
      <w:pPr>
        <w:tabs>
          <w:tab w:val="left" w:pos="360"/>
        </w:tabs>
        <w:spacing w:line="560" w:lineRule="exact"/>
        <w:jc w:val="center"/>
        <w:rPr>
          <w:b/>
          <w:sz w:val="24"/>
        </w:rPr>
      </w:pPr>
      <w:r>
        <w:rPr>
          <w:b/>
          <w:sz w:val="24"/>
        </w:rPr>
        <w:t>响应书</w:t>
      </w:r>
    </w:p>
    <w:p>
      <w:pPr>
        <w:autoSpaceDE w:val="0"/>
        <w:autoSpaceDN w:val="0"/>
        <w:adjustRightInd w:val="0"/>
        <w:spacing w:line="520" w:lineRule="exact"/>
        <w:jc w:val="left"/>
        <w:rPr>
          <w:kern w:val="0"/>
          <w:sz w:val="24"/>
        </w:rPr>
      </w:pPr>
      <w:r>
        <w:rPr>
          <w:kern w:val="0"/>
          <w:sz w:val="24"/>
        </w:rPr>
        <w:t>致：天津市政府采购中心</w:t>
      </w:r>
    </w:p>
    <w:p>
      <w:pPr>
        <w:autoSpaceDE w:val="0"/>
        <w:autoSpaceDN w:val="0"/>
        <w:adjustRightInd w:val="0"/>
        <w:spacing w:line="360" w:lineRule="auto"/>
        <w:ind w:firstLine="480"/>
        <w:jc w:val="left"/>
        <w:rPr>
          <w:sz w:val="24"/>
        </w:rPr>
      </w:pPr>
      <w:r>
        <w:rPr>
          <w:sz w:val="24"/>
        </w:rPr>
        <w:t>根据贵方为天津市</w:t>
      </w:r>
      <w:r>
        <w:rPr>
          <w:sz w:val="24"/>
          <w:u w:val="single"/>
        </w:rPr>
        <w:t xml:space="preserve">      </w:t>
      </w:r>
      <w:r>
        <w:rPr>
          <w:rFonts w:hint="eastAsia"/>
          <w:sz w:val="24"/>
          <w:u w:val="single"/>
        </w:rPr>
        <w:t xml:space="preserve">   </w:t>
      </w:r>
      <w:r>
        <w:rPr>
          <w:sz w:val="24"/>
          <w:u w:val="single"/>
        </w:rPr>
        <w:t xml:space="preserve">         </w:t>
      </w:r>
      <w:r>
        <w:rPr>
          <w:sz w:val="24"/>
        </w:rPr>
        <w:t>项目（项目编号：</w:t>
      </w:r>
      <w:r>
        <w:rPr>
          <w:sz w:val="24"/>
          <w:u w:val="single"/>
        </w:rPr>
        <w:t xml:space="preserve">             </w:t>
      </w:r>
      <w:r>
        <w:rPr>
          <w:sz w:val="24"/>
        </w:rPr>
        <w:t>）的</w:t>
      </w:r>
      <w:r>
        <w:rPr>
          <w:rFonts w:hint="eastAsia"/>
          <w:sz w:val="24"/>
        </w:rPr>
        <w:t>磋商</w:t>
      </w:r>
      <w:r>
        <w:rPr>
          <w:sz w:val="24"/>
        </w:rPr>
        <w:t>邀请，签字代表</w:t>
      </w:r>
      <w:r>
        <w:rPr>
          <w:sz w:val="24"/>
          <w:u w:val="single"/>
        </w:rPr>
        <w:t xml:space="preserve">       </w:t>
      </w:r>
      <w:r>
        <w:rPr>
          <w:rFonts w:hint="eastAsia"/>
          <w:sz w:val="24"/>
          <w:u w:val="single"/>
        </w:rPr>
        <w:t xml:space="preserve">              </w:t>
      </w:r>
      <w:r>
        <w:rPr>
          <w:sz w:val="24"/>
          <w:u w:val="single"/>
        </w:rPr>
        <w:t xml:space="preserve">      </w:t>
      </w:r>
      <w:r>
        <w:rPr>
          <w:sz w:val="24"/>
        </w:rPr>
        <w:t>（姓名</w:t>
      </w:r>
      <w:r>
        <w:rPr>
          <w:sz w:val="24"/>
          <w:lang w:val="en-GB"/>
        </w:rPr>
        <w:t>/</w:t>
      </w:r>
      <w:r>
        <w:rPr>
          <w:sz w:val="24"/>
        </w:rPr>
        <w:t>职务）经正式授权并代表</w:t>
      </w:r>
      <w:r>
        <w:rPr>
          <w:rFonts w:hint="eastAsia"/>
          <w:sz w:val="24"/>
        </w:rPr>
        <w:t>我公司</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投标单位</w:t>
      </w:r>
      <w:r>
        <w:rPr>
          <w:sz w:val="24"/>
        </w:rPr>
        <w:t>名称、地址）提交</w:t>
      </w:r>
      <w:r>
        <w:rPr>
          <w:rFonts w:hint="eastAsia"/>
          <w:sz w:val="24"/>
        </w:rPr>
        <w:t>网上应答及上传加盖电子签章的响应文件</w:t>
      </w:r>
      <w:r>
        <w:rPr>
          <w:sz w:val="24"/>
        </w:rPr>
        <w:t>。</w:t>
      </w:r>
    </w:p>
    <w:p>
      <w:pPr>
        <w:autoSpaceDE w:val="0"/>
        <w:autoSpaceDN w:val="0"/>
        <w:adjustRightInd w:val="0"/>
        <w:spacing w:line="360" w:lineRule="auto"/>
        <w:ind w:firstLine="480"/>
        <w:jc w:val="left"/>
        <w:rPr>
          <w:kern w:val="0"/>
          <w:sz w:val="24"/>
        </w:rPr>
      </w:pPr>
      <w:r>
        <w:rPr>
          <w:kern w:val="0"/>
          <w:sz w:val="24"/>
        </w:rPr>
        <w:t>据此函，签字代表宣布同意如下：</w:t>
      </w:r>
    </w:p>
    <w:p>
      <w:pPr>
        <w:spacing w:line="360" w:lineRule="auto"/>
        <w:ind w:firstLine="480" w:firstLineChars="200"/>
        <w:rPr>
          <w:sz w:val="24"/>
        </w:rPr>
      </w:pPr>
      <w:r>
        <w:rPr>
          <w:rFonts w:hint="eastAsia"/>
          <w:sz w:val="24"/>
        </w:rPr>
        <w:t>1</w:t>
      </w:r>
      <w:r>
        <w:rPr>
          <w:sz w:val="24"/>
        </w:rPr>
        <w:t>.</w:t>
      </w:r>
      <w:r>
        <w:rPr>
          <w:rFonts w:hint="eastAsia"/>
          <w:sz w:val="24"/>
        </w:rPr>
        <w:t xml:space="preserve"> 我公司</w:t>
      </w:r>
      <w:r>
        <w:rPr>
          <w:sz w:val="24"/>
        </w:rPr>
        <w:t>将按磋商文件的规定履行合同责任和义务。</w:t>
      </w:r>
    </w:p>
    <w:p>
      <w:pPr>
        <w:spacing w:line="360" w:lineRule="auto"/>
        <w:ind w:firstLine="480" w:firstLineChars="200"/>
        <w:rPr>
          <w:sz w:val="24"/>
        </w:rPr>
      </w:pPr>
      <w:r>
        <w:rPr>
          <w:rFonts w:hint="eastAsia"/>
          <w:sz w:val="24"/>
        </w:rPr>
        <w:t>2</w:t>
      </w:r>
      <w:r>
        <w:rPr>
          <w:sz w:val="24"/>
        </w:rPr>
        <w:t>.</w:t>
      </w:r>
      <w:r>
        <w:rPr>
          <w:rFonts w:hint="eastAsia"/>
          <w:sz w:val="24"/>
        </w:rPr>
        <w:t xml:space="preserve"> 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pPr>
        <w:spacing w:line="360" w:lineRule="auto"/>
        <w:ind w:firstLine="480" w:firstLineChars="200"/>
        <w:rPr>
          <w:sz w:val="24"/>
        </w:rPr>
      </w:pPr>
      <w:r>
        <w:rPr>
          <w:rFonts w:hint="eastAsia"/>
          <w:sz w:val="24"/>
        </w:rPr>
        <w:t>3</w:t>
      </w:r>
      <w:r>
        <w:rPr>
          <w:sz w:val="24"/>
        </w:rPr>
        <w:t>.</w:t>
      </w:r>
      <w:r>
        <w:rPr>
          <w:rFonts w:hint="eastAsia"/>
          <w:sz w:val="24"/>
        </w:rPr>
        <w:t xml:space="preserve"> 我公司的磋商有效期为响应文件开启之日起60天。</w:t>
      </w:r>
    </w:p>
    <w:p>
      <w:pPr>
        <w:spacing w:line="360" w:lineRule="auto"/>
        <w:ind w:firstLine="480" w:firstLineChars="200"/>
        <w:rPr>
          <w:sz w:val="24"/>
        </w:rPr>
      </w:pPr>
      <w:r>
        <w:rPr>
          <w:rFonts w:hint="eastAsia"/>
          <w:sz w:val="24"/>
        </w:rPr>
        <w:t>4</w:t>
      </w:r>
      <w:r>
        <w:rPr>
          <w:sz w:val="24"/>
        </w:rPr>
        <w:t>.</w:t>
      </w:r>
      <w:r>
        <w:rPr>
          <w:rFonts w:hint="eastAsia"/>
          <w:sz w:val="24"/>
        </w:rPr>
        <w:t xml:space="preserve"> 我公司同意按照招标采购单位要求</w:t>
      </w:r>
      <w:r>
        <w:rPr>
          <w:sz w:val="24"/>
        </w:rPr>
        <w:t>提供的与投标有关的一切数据或资料</w:t>
      </w:r>
      <w:r>
        <w:rPr>
          <w:rFonts w:hint="eastAsia"/>
          <w:sz w:val="24"/>
        </w:rPr>
        <w:t>，并声明响应文件及所提供的一切资料均真实有效。由于我公司提供资料不实而造成的责任和后果由我公司自行承担。</w:t>
      </w:r>
    </w:p>
    <w:p>
      <w:pPr>
        <w:spacing w:line="360" w:lineRule="auto"/>
        <w:ind w:firstLine="480" w:firstLineChars="200"/>
        <w:rPr>
          <w:sz w:val="24"/>
        </w:rPr>
      </w:pPr>
      <w:r>
        <w:rPr>
          <w:rFonts w:hint="eastAsia"/>
          <w:sz w:val="24"/>
        </w:rPr>
        <w:t>5. 我公司保证所投产品来自合法的供货渠道，若成交，则有义务向采购人提供其需要的有效书面证明材料。如果提供非法渠道的商品，视为欺诈，并承担相关责任。</w:t>
      </w:r>
    </w:p>
    <w:p>
      <w:pPr>
        <w:spacing w:line="360" w:lineRule="auto"/>
        <w:ind w:firstLine="480" w:firstLineChars="200"/>
        <w:rPr>
          <w:sz w:val="24"/>
        </w:rPr>
      </w:pPr>
      <w:r>
        <w:rPr>
          <w:rFonts w:hint="eastAsia"/>
          <w:sz w:val="24"/>
        </w:rPr>
        <w:t>6.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80" w:firstLineChars="200"/>
        <w:rPr>
          <w:sz w:val="24"/>
        </w:rPr>
      </w:pPr>
      <w:r>
        <w:rPr>
          <w:rFonts w:hint="eastAsia"/>
          <w:sz w:val="24"/>
        </w:rPr>
        <w:t>7. 我公司承诺完全符合《政府采购法》、《政府采购法实施条例》等法律法规规定，并随时接受招标采购单位的检查验证。</w:t>
      </w:r>
      <w:r>
        <w:rPr>
          <w:sz w:val="24"/>
        </w:rPr>
        <w:t>在整个</w:t>
      </w:r>
      <w:r>
        <w:rPr>
          <w:rFonts w:hint="eastAsia"/>
          <w:sz w:val="24"/>
        </w:rPr>
        <w:t>磋商</w:t>
      </w:r>
      <w:r>
        <w:rPr>
          <w:sz w:val="24"/>
        </w:rPr>
        <w:t>过程中，</w:t>
      </w:r>
      <w:r>
        <w:rPr>
          <w:rFonts w:hint="eastAsia"/>
          <w:sz w:val="24"/>
        </w:rPr>
        <w:t>我公司</w:t>
      </w:r>
      <w:r>
        <w:rPr>
          <w:sz w:val="24"/>
        </w:rPr>
        <w:t>若有违规行为，</w:t>
      </w:r>
      <w:r>
        <w:rPr>
          <w:rFonts w:hint="eastAsia"/>
          <w:sz w:val="24"/>
        </w:rPr>
        <w:t>我公司完全接受</w:t>
      </w:r>
      <w:r>
        <w:rPr>
          <w:sz w:val="24"/>
        </w:rPr>
        <w:t>贵</w:t>
      </w:r>
      <w:r>
        <w:rPr>
          <w:rFonts w:hint="eastAsia"/>
          <w:sz w:val="24"/>
        </w:rPr>
        <w:t>中心依照相关法律法规和</w:t>
      </w:r>
      <w:r>
        <w:rPr>
          <w:sz w:val="24"/>
        </w:rPr>
        <w:t>磋商文件</w:t>
      </w:r>
      <w:r>
        <w:rPr>
          <w:rFonts w:hint="eastAsia"/>
          <w:sz w:val="24"/>
        </w:rPr>
        <w:t>的</w:t>
      </w:r>
      <w:r>
        <w:rPr>
          <w:sz w:val="24"/>
        </w:rPr>
        <w:t>规定给予</w:t>
      </w:r>
      <w:r>
        <w:rPr>
          <w:rFonts w:hint="eastAsia"/>
          <w:sz w:val="24"/>
        </w:rPr>
        <w:t>处罚</w:t>
      </w:r>
      <w:r>
        <w:rPr>
          <w:sz w:val="24"/>
        </w:rPr>
        <w:t>。</w:t>
      </w:r>
    </w:p>
    <w:p>
      <w:pPr>
        <w:spacing w:line="360" w:lineRule="auto"/>
        <w:ind w:firstLine="480" w:firstLineChars="200"/>
        <w:rPr>
          <w:sz w:val="24"/>
        </w:rPr>
      </w:pPr>
      <w:r>
        <w:rPr>
          <w:rFonts w:hint="eastAsia"/>
          <w:sz w:val="24"/>
        </w:rPr>
        <w:t>8.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p>
    <w:p>
      <w:pPr>
        <w:spacing w:line="360" w:lineRule="auto"/>
        <w:ind w:firstLine="480" w:firstLineChars="200"/>
        <w:rPr>
          <w:sz w:val="24"/>
        </w:rPr>
      </w:pPr>
      <w:r>
        <w:rPr>
          <w:rFonts w:hint="eastAsia"/>
          <w:sz w:val="24"/>
        </w:rPr>
        <w:t>9</w:t>
      </w:r>
      <w:r>
        <w:rPr>
          <w:sz w:val="24"/>
        </w:rPr>
        <w:t>.</w:t>
      </w:r>
      <w:r>
        <w:rPr>
          <w:rFonts w:hint="eastAsia"/>
          <w:sz w:val="24"/>
        </w:rPr>
        <w:t xml:space="preserve"> </w:t>
      </w:r>
      <w:r>
        <w:rPr>
          <w:sz w:val="24"/>
        </w:rPr>
        <w:t>我公司若</w:t>
      </w:r>
      <w:r>
        <w:rPr>
          <w:rFonts w:hint="eastAsia"/>
          <w:sz w:val="24"/>
        </w:rPr>
        <w:t>成交</w:t>
      </w:r>
      <w:r>
        <w:rPr>
          <w:sz w:val="24"/>
        </w:rPr>
        <w:t>，本承诺将成为合同不可分割的一部分，与合同具有同等的法律效力。</w:t>
      </w:r>
    </w:p>
    <w:p>
      <w:pPr>
        <w:spacing w:line="360" w:lineRule="auto"/>
        <w:ind w:firstLine="480" w:firstLineChars="200"/>
        <w:rPr>
          <w:sz w:val="24"/>
        </w:rPr>
      </w:pPr>
      <w:r>
        <w:rPr>
          <w:rFonts w:hint="eastAsia"/>
          <w:sz w:val="24"/>
        </w:rPr>
        <w:t>10. 如违反上述承诺，我公司投标无效且接受相关部门依法作出的处罚，并承担通过“天津市政府采购网”等相关媒体予以公布的任何风险和责任。</w:t>
      </w:r>
    </w:p>
    <w:p>
      <w:pPr>
        <w:spacing w:line="360" w:lineRule="auto"/>
        <w:ind w:firstLine="480" w:firstLineChars="200"/>
        <w:rPr>
          <w:sz w:val="24"/>
        </w:rPr>
      </w:pPr>
      <w:r>
        <w:rPr>
          <w:rFonts w:hint="eastAsia"/>
          <w:sz w:val="24"/>
        </w:rPr>
        <w:t>11</w:t>
      </w:r>
      <w:r>
        <w:rPr>
          <w:sz w:val="24"/>
        </w:rPr>
        <w:t xml:space="preserve">. </w:t>
      </w:r>
      <w:r>
        <w:rPr>
          <w:rFonts w:hint="eastAsia"/>
          <w:sz w:val="24"/>
        </w:rPr>
        <w:t>我公司开票信息如下，</w:t>
      </w:r>
      <w:r>
        <w:rPr>
          <w:rFonts w:hint="eastAsia"/>
          <w:b/>
          <w:sz w:val="24"/>
        </w:rPr>
        <w:t>此信息与我公司在税务局注册的信息一致</w:t>
      </w:r>
      <w:r>
        <w:rPr>
          <w:rFonts w:hint="eastAsia"/>
          <w:sz w:val="24"/>
        </w:rPr>
        <w:t>：</w:t>
      </w:r>
    </w:p>
    <w:p>
      <w:pPr>
        <w:spacing w:line="360" w:lineRule="auto"/>
        <w:ind w:firstLine="480" w:firstLineChars="200"/>
        <w:rPr>
          <w:sz w:val="24"/>
        </w:rPr>
      </w:pPr>
      <w:r>
        <w:rPr>
          <w:rFonts w:hint="eastAsia"/>
          <w:sz w:val="24"/>
        </w:rPr>
        <w:t>纳税人识别号：</w:t>
      </w:r>
    </w:p>
    <w:p>
      <w:pPr>
        <w:spacing w:line="360" w:lineRule="auto"/>
        <w:ind w:firstLine="480" w:firstLineChars="200"/>
        <w:rPr>
          <w:sz w:val="24"/>
        </w:rPr>
      </w:pPr>
      <w:r>
        <w:rPr>
          <w:rFonts w:hint="eastAsia"/>
          <w:sz w:val="24"/>
        </w:rPr>
        <w:t>地址、电话：</w:t>
      </w:r>
    </w:p>
    <w:p>
      <w:pPr>
        <w:spacing w:line="360" w:lineRule="auto"/>
        <w:ind w:firstLine="480" w:firstLineChars="200"/>
        <w:rPr>
          <w:sz w:val="24"/>
        </w:rPr>
      </w:pPr>
      <w:r>
        <w:rPr>
          <w:rFonts w:hint="eastAsia"/>
          <w:sz w:val="24"/>
        </w:rPr>
        <w:t>开户行及账号：</w:t>
      </w:r>
    </w:p>
    <w:p>
      <w:pPr>
        <w:spacing w:line="360" w:lineRule="auto"/>
        <w:ind w:firstLine="480" w:firstLineChars="200"/>
        <w:rPr>
          <w:sz w:val="24"/>
        </w:rPr>
      </w:pPr>
      <w:r>
        <w:rPr>
          <w:rFonts w:hint="eastAsia"/>
          <w:sz w:val="24"/>
        </w:rPr>
        <w:t>开具发票类型：□增值税专用发票         □增值税普通发票</w:t>
      </w:r>
    </w:p>
    <w:p>
      <w:pPr>
        <w:spacing w:line="360" w:lineRule="auto"/>
        <w:ind w:firstLine="480" w:firstLineChars="200"/>
        <w:rPr>
          <w:sz w:val="24"/>
        </w:rPr>
      </w:pPr>
      <w:r>
        <w:rPr>
          <w:rFonts w:hint="eastAsia"/>
          <w:sz w:val="24"/>
        </w:rPr>
        <w:t>12. 我公司选择招标代理服务费</w:t>
      </w:r>
      <w:r>
        <w:rPr>
          <w:sz w:val="24"/>
        </w:rPr>
        <w:t>发票领取方式（请自行选择以下任一方式并在相应</w:t>
      </w:r>
      <w:r>
        <w:rPr>
          <w:rFonts w:hint="eastAsia"/>
          <w:sz w:val="24"/>
        </w:rPr>
        <w:t>□里划“√”</w:t>
      </w:r>
      <w:r>
        <w:rPr>
          <w:sz w:val="24"/>
        </w:rPr>
        <w:t>）：</w:t>
      </w:r>
    </w:p>
    <w:p>
      <w:pPr>
        <w:spacing w:line="360" w:lineRule="auto"/>
        <w:ind w:firstLine="482" w:firstLineChars="200"/>
        <w:rPr>
          <w:b/>
          <w:sz w:val="24"/>
        </w:rPr>
      </w:pPr>
      <w:r>
        <w:rPr>
          <w:rFonts w:hint="eastAsia"/>
          <w:b/>
          <w:sz w:val="24"/>
        </w:rPr>
        <w:t>□</w:t>
      </w:r>
      <w:r>
        <w:rPr>
          <w:b/>
          <w:sz w:val="24"/>
        </w:rPr>
        <w:t>上门自取</w:t>
      </w:r>
    </w:p>
    <w:p>
      <w:pPr>
        <w:spacing w:line="360" w:lineRule="auto"/>
        <w:ind w:firstLine="480" w:firstLineChars="200"/>
        <w:rPr>
          <w:sz w:val="24"/>
        </w:rPr>
      </w:pPr>
    </w:p>
    <w:p>
      <w:pPr>
        <w:spacing w:line="360" w:lineRule="auto"/>
        <w:ind w:firstLine="482" w:firstLineChars="200"/>
        <w:rPr>
          <w:b/>
          <w:sz w:val="24"/>
        </w:rPr>
      </w:pPr>
      <w:r>
        <w:rPr>
          <w:rFonts w:hint="eastAsia"/>
          <w:b/>
          <w:sz w:val="24"/>
        </w:rPr>
        <w:t>□</w:t>
      </w:r>
      <w:r>
        <w:rPr>
          <w:b/>
          <w:sz w:val="24"/>
        </w:rPr>
        <w:t>到付邮寄</w:t>
      </w:r>
    </w:p>
    <w:p>
      <w:pPr>
        <w:spacing w:line="360" w:lineRule="auto"/>
        <w:ind w:firstLine="480" w:firstLineChars="200"/>
        <w:rPr>
          <w:sz w:val="24"/>
        </w:rPr>
      </w:pPr>
      <w:r>
        <w:rPr>
          <w:sz w:val="24"/>
        </w:rPr>
        <w:t>邮寄地址</w:t>
      </w:r>
      <w:r>
        <w:rPr>
          <w:rFonts w:hint="eastAsia"/>
          <w:sz w:val="24"/>
        </w:rPr>
        <w:t>、邮编</w:t>
      </w:r>
      <w:r>
        <w:rPr>
          <w:sz w:val="24"/>
        </w:rPr>
        <w:t>：</w:t>
      </w:r>
    </w:p>
    <w:p>
      <w:pPr>
        <w:spacing w:line="360" w:lineRule="auto"/>
        <w:ind w:firstLine="480" w:firstLineChars="200"/>
        <w:rPr>
          <w:sz w:val="24"/>
        </w:rPr>
      </w:pPr>
      <w:r>
        <w:rPr>
          <w:sz w:val="24"/>
        </w:rPr>
        <w:t>邮寄联系人、手机号码：</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60" w:lineRule="exact"/>
        <w:jc w:val="left"/>
        <w:rPr>
          <w:b/>
          <w:sz w:val="24"/>
        </w:rPr>
      </w:pPr>
      <w:r>
        <w:rPr>
          <w:b/>
          <w:sz w:val="24"/>
        </w:rPr>
        <w:br w:type="page"/>
      </w:r>
      <w:r>
        <w:rPr>
          <w:b/>
          <w:sz w:val="24"/>
        </w:rPr>
        <w:t>附件2</w:t>
      </w:r>
    </w:p>
    <w:p>
      <w:pPr>
        <w:tabs>
          <w:tab w:val="left" w:pos="360"/>
        </w:tabs>
        <w:spacing w:line="560" w:lineRule="exact"/>
        <w:jc w:val="center"/>
        <w:rPr>
          <w:b/>
          <w:sz w:val="24"/>
        </w:rPr>
      </w:pPr>
      <w:r>
        <w:rPr>
          <w:rFonts w:hint="eastAsia"/>
          <w:b/>
          <w:sz w:val="24"/>
        </w:rPr>
        <w:t>供应商资格要求证明文件</w:t>
      </w: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r>
        <w:rPr>
          <w:sz w:val="24"/>
        </w:rPr>
        <w:t>注：相关证明材料应附在此页后面。</w:t>
      </w:r>
    </w:p>
    <w:p>
      <w:pPr>
        <w:spacing w:line="460" w:lineRule="exact"/>
        <w:ind w:left="192"/>
        <w:rPr>
          <w:b/>
          <w:bCs/>
          <w:sz w:val="24"/>
        </w:rPr>
      </w:pPr>
    </w:p>
    <w:p>
      <w:pPr>
        <w:spacing w:line="460" w:lineRule="exact"/>
        <w:ind w:left="192"/>
        <w:rPr>
          <w:b/>
          <w:bCs/>
          <w:sz w:val="24"/>
        </w:rPr>
      </w:pPr>
    </w:p>
    <w:p>
      <w:pPr>
        <w:spacing w:line="460" w:lineRule="exact"/>
        <w:jc w:val="left"/>
        <w:rPr>
          <w:b/>
          <w:sz w:val="24"/>
        </w:rPr>
      </w:pPr>
      <w:r>
        <w:rPr>
          <w:b/>
          <w:sz w:val="24"/>
        </w:rPr>
        <w:br w:type="page"/>
      </w:r>
      <w:r>
        <w:rPr>
          <w:b/>
          <w:sz w:val="24"/>
        </w:rPr>
        <w:t>附件3</w:t>
      </w:r>
    </w:p>
    <w:p>
      <w:pPr>
        <w:autoSpaceDN w:val="0"/>
        <w:spacing w:line="360" w:lineRule="auto"/>
        <w:jc w:val="center"/>
        <w:rPr>
          <w:b/>
          <w:bCs/>
          <w:sz w:val="24"/>
        </w:rPr>
      </w:pPr>
      <w:r>
        <w:rPr>
          <w:rFonts w:hint="eastAsia"/>
          <w:b/>
          <w:bCs/>
          <w:sz w:val="24"/>
        </w:rPr>
        <w:t>磋商</w:t>
      </w:r>
      <w:r>
        <w:rPr>
          <w:b/>
          <w:bCs/>
          <w:sz w:val="24"/>
        </w:rPr>
        <w:t>代表人授权书</w:t>
      </w:r>
    </w:p>
    <w:p>
      <w:pPr>
        <w:spacing w:line="360" w:lineRule="auto"/>
        <w:rPr>
          <w:sz w:val="24"/>
          <w:szCs w:val="21"/>
        </w:rPr>
      </w:pPr>
    </w:p>
    <w:p>
      <w:pPr>
        <w:spacing w:line="360" w:lineRule="auto"/>
        <w:rPr>
          <w:sz w:val="24"/>
          <w:szCs w:val="21"/>
        </w:rPr>
      </w:pPr>
      <w:r>
        <w:rPr>
          <w:sz w:val="24"/>
          <w:szCs w:val="21"/>
        </w:rPr>
        <w:t>致：天津市政府采购中心</w:t>
      </w:r>
    </w:p>
    <w:p>
      <w:pPr>
        <w:spacing w:line="360" w:lineRule="auto"/>
        <w:ind w:firstLine="480" w:firstLineChars="20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pPr>
        <w:spacing w:line="360" w:lineRule="auto"/>
        <w:ind w:firstLine="480" w:firstLineChars="200"/>
        <w:rPr>
          <w:sz w:val="24"/>
          <w:szCs w:val="21"/>
        </w:rPr>
      </w:pPr>
      <w:r>
        <w:rPr>
          <w:sz w:val="24"/>
          <w:szCs w:val="21"/>
        </w:rPr>
        <w:t>我方对</w:t>
      </w:r>
      <w:r>
        <w:rPr>
          <w:rFonts w:hint="eastAsia"/>
          <w:sz w:val="24"/>
          <w:szCs w:val="21"/>
        </w:rPr>
        <w:t>磋商代表人</w:t>
      </w:r>
      <w:r>
        <w:rPr>
          <w:sz w:val="24"/>
          <w:szCs w:val="21"/>
        </w:rPr>
        <w:t>的签名事项负全部责任。</w:t>
      </w:r>
    </w:p>
    <w:p>
      <w:pPr>
        <w:spacing w:line="360" w:lineRule="auto"/>
        <w:ind w:firstLine="480" w:firstLineChars="200"/>
        <w:rPr>
          <w:sz w:val="24"/>
          <w:szCs w:val="21"/>
        </w:rPr>
      </w:pPr>
      <w:r>
        <w:rPr>
          <w:sz w:val="24"/>
          <w:szCs w:val="21"/>
        </w:rPr>
        <w:t>本授权书至</w:t>
      </w:r>
      <w:r>
        <w:rPr>
          <w:rFonts w:hint="eastAsia"/>
          <w:sz w:val="24"/>
          <w:szCs w:val="21"/>
        </w:rPr>
        <w:t>磋商</w:t>
      </w:r>
      <w:r>
        <w:rPr>
          <w:sz w:val="24"/>
          <w:szCs w:val="21"/>
        </w:rPr>
        <w:t>有效期结束前始终有效。</w:t>
      </w:r>
    </w:p>
    <w:p>
      <w:pPr>
        <w:spacing w:line="360" w:lineRule="auto"/>
        <w:ind w:firstLine="480" w:firstLineChars="200"/>
        <w:rPr>
          <w:sz w:val="24"/>
          <w:szCs w:val="21"/>
        </w:rPr>
      </w:pPr>
      <w:r>
        <w:rPr>
          <w:rFonts w:hint="eastAsia"/>
          <w:sz w:val="24"/>
          <w:szCs w:val="21"/>
        </w:rPr>
        <w:t>磋商</w:t>
      </w:r>
      <w:r>
        <w:rPr>
          <w:sz w:val="24"/>
          <w:szCs w:val="21"/>
        </w:rPr>
        <w:t>代表人无转委托权，特此委托。</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5040" w:firstLineChars="2100"/>
        <w:rPr>
          <w:sz w:val="24"/>
        </w:rPr>
      </w:pPr>
      <w:r>
        <w:rPr>
          <w:sz w:val="24"/>
        </w:rPr>
        <w:t xml:space="preserve">     年   月   日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sz w:val="24"/>
              </w:rPr>
            </w:pPr>
            <w:r>
              <w:rPr>
                <w:rFonts w:hint="eastAsia"/>
                <w:sz w:val="24"/>
              </w:rPr>
              <w:t>磋商代表人身份证正面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tc>
        <w:tc>
          <w:tcPr>
            <w:tcW w:w="4264" w:type="dxa"/>
          </w:tcPr>
          <w:p>
            <w:pPr>
              <w:spacing w:line="360" w:lineRule="auto"/>
              <w:jc w:val="left"/>
              <w:rPr>
                <w:sz w:val="24"/>
              </w:rPr>
            </w:pPr>
            <w:r>
              <w:rPr>
                <w:rFonts w:hint="eastAsia"/>
                <w:sz w:val="24"/>
              </w:rPr>
              <w:t>磋商代表人身份证背面</w:t>
            </w:r>
          </w:p>
        </w:tc>
      </w:tr>
    </w:tbl>
    <w:p>
      <w:pPr>
        <w:spacing w:line="460" w:lineRule="exact"/>
        <w:jc w:val="left"/>
        <w:rPr>
          <w:b/>
          <w:sz w:val="24"/>
        </w:rPr>
      </w:pPr>
      <w:r>
        <w:rPr>
          <w:b/>
          <w:sz w:val="24"/>
        </w:rPr>
        <w:br w:type="page"/>
      </w:r>
      <w:r>
        <w:rPr>
          <w:b/>
          <w:sz w:val="24"/>
        </w:rPr>
        <w:t>附件4-1</w:t>
      </w:r>
    </w:p>
    <w:p>
      <w:pPr>
        <w:spacing w:line="460" w:lineRule="exact"/>
        <w:ind w:left="181"/>
        <w:jc w:val="center"/>
        <w:rPr>
          <w:b/>
          <w:sz w:val="24"/>
        </w:rPr>
      </w:pPr>
    </w:p>
    <w:p>
      <w:pPr>
        <w:autoSpaceDN w:val="0"/>
        <w:spacing w:line="360" w:lineRule="auto"/>
        <w:jc w:val="center"/>
        <w:rPr>
          <w:b/>
          <w:bCs/>
          <w:sz w:val="24"/>
        </w:rPr>
      </w:pPr>
      <w:r>
        <w:rPr>
          <w:b/>
          <w:bCs/>
          <w:sz w:val="24"/>
        </w:rPr>
        <w:t>商务要求点对点应答表</w:t>
      </w:r>
    </w:p>
    <w:p>
      <w:pPr>
        <w:spacing w:line="460" w:lineRule="exac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u w:val="single"/>
        </w:rPr>
      </w:pPr>
    </w:p>
    <w:tbl>
      <w:tblPr>
        <w:tblStyle w:val="16"/>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磋商要求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bl>
    <w:p>
      <w:pPr>
        <w:spacing w:line="620" w:lineRule="exact"/>
        <w:rPr>
          <w:sz w:val="24"/>
        </w:rPr>
      </w:pPr>
      <w:r>
        <w:rPr>
          <w:sz w:val="24"/>
        </w:rPr>
        <w:t>注：</w:t>
      </w:r>
    </w:p>
    <w:p>
      <w:pPr>
        <w:spacing w:line="360" w:lineRule="auto"/>
        <w:rPr>
          <w:sz w:val="24"/>
        </w:rPr>
      </w:pPr>
      <w:r>
        <w:rPr>
          <w:sz w:val="24"/>
        </w:rPr>
        <w:t>1. 不如实填写偏离情况的响应文件将视为虚假材料。</w:t>
      </w:r>
    </w:p>
    <w:p>
      <w:pPr>
        <w:spacing w:line="360" w:lineRule="auto"/>
        <w:rPr>
          <w:sz w:val="24"/>
        </w:rPr>
      </w:pPr>
      <w:r>
        <w:rPr>
          <w:sz w:val="24"/>
        </w:rPr>
        <w:t>2. 磋商要求指磋商文件中规定的具体要求，投标应答指响应文件的具体内容。</w:t>
      </w:r>
    </w:p>
    <w:p>
      <w:pPr>
        <w:spacing w:line="360" w:lineRule="auto"/>
        <w:rPr>
          <w:sz w:val="24"/>
        </w:rPr>
      </w:pPr>
      <w:r>
        <w:rPr>
          <w:rFonts w:hint="eastAsia"/>
          <w:sz w:val="24"/>
        </w:rPr>
        <w:t>3</w:t>
      </w:r>
      <w:r>
        <w:rPr>
          <w:sz w:val="24"/>
        </w:rPr>
        <w:t>. 偏离说明指磋商要求与投标应答之间的不同之处。</w:t>
      </w:r>
    </w:p>
    <w:p>
      <w:pPr>
        <w:spacing w:line="360" w:lineRule="auto"/>
        <w:rPr>
          <w:sz w:val="24"/>
        </w:rPr>
      </w:pPr>
    </w:p>
    <w:p>
      <w:pPr>
        <w:spacing w:line="360" w:lineRule="auto"/>
        <w:rPr>
          <w:sz w:val="24"/>
        </w:rPr>
      </w:pPr>
    </w:p>
    <w:p>
      <w:pPr>
        <w:spacing w:line="360" w:lineRule="auto"/>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360" w:lineRule="auto"/>
        <w:rPr>
          <w:sz w:val="24"/>
        </w:rPr>
      </w:pPr>
    </w:p>
    <w:p>
      <w:pPr>
        <w:tabs>
          <w:tab w:val="left" w:pos="360"/>
        </w:tabs>
        <w:spacing w:after="312" w:afterLines="100" w:line="360" w:lineRule="auto"/>
        <w:rPr>
          <w:b/>
          <w:sz w:val="24"/>
        </w:rPr>
      </w:pPr>
      <w:r>
        <w:rPr>
          <w:sz w:val="24"/>
        </w:rPr>
        <w:br w:type="page"/>
      </w:r>
      <w:r>
        <w:rPr>
          <w:b/>
          <w:sz w:val="24"/>
        </w:rPr>
        <w:t>附件4-2</w:t>
      </w:r>
    </w:p>
    <w:p>
      <w:pPr>
        <w:autoSpaceDN w:val="0"/>
        <w:spacing w:line="360" w:lineRule="auto"/>
        <w:jc w:val="center"/>
        <w:rPr>
          <w:b/>
          <w:bCs/>
          <w:sz w:val="24"/>
        </w:rPr>
      </w:pPr>
      <w:r>
        <w:rPr>
          <w:b/>
          <w:bCs/>
          <w:sz w:val="24"/>
        </w:rPr>
        <w:t>技术要求点对点应答表</w:t>
      </w: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u w:val="single"/>
        </w:rPr>
      </w:pPr>
    </w:p>
    <w:tbl>
      <w:tblPr>
        <w:tblStyle w:val="16"/>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394"/>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394" w:type="dxa"/>
            <w:shd w:val="clear" w:color="auto" w:fill="auto"/>
            <w:vAlign w:val="center"/>
          </w:tcPr>
          <w:p>
            <w:pPr>
              <w:widowControl/>
              <w:snapToGrid w:val="0"/>
              <w:jc w:val="center"/>
              <w:rPr>
                <w:kern w:val="0"/>
                <w:sz w:val="24"/>
                <w:szCs w:val="21"/>
              </w:rPr>
            </w:pPr>
            <w:r>
              <w:rPr>
                <w:kern w:val="0"/>
                <w:sz w:val="24"/>
                <w:szCs w:val="21"/>
              </w:rPr>
              <w:t>磋商要求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1</w:t>
            </w:r>
          </w:p>
        </w:tc>
        <w:tc>
          <w:tcPr>
            <w:tcW w:w="4394" w:type="dxa"/>
            <w:shd w:val="clear" w:color="auto" w:fill="auto"/>
            <w:vAlign w:val="center"/>
          </w:tcPr>
          <w:p>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2</w:t>
            </w:r>
          </w:p>
        </w:tc>
        <w:tc>
          <w:tcPr>
            <w:tcW w:w="4394" w:type="dxa"/>
            <w:shd w:val="clear" w:color="auto" w:fill="auto"/>
            <w:vAlign w:val="center"/>
          </w:tcPr>
          <w:p>
            <w:pPr>
              <w:widowControl/>
              <w:snapToGrid w:val="0"/>
              <w:jc w:val="left"/>
              <w:rPr>
                <w:kern w:val="0"/>
                <w:sz w:val="24"/>
                <w:szCs w:val="21"/>
              </w:rPr>
            </w:pPr>
            <w:r>
              <w:rPr>
                <w:color w:val="000000"/>
                <w:sz w:val="24"/>
              </w:rPr>
              <w:t>（二）</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3</w:t>
            </w:r>
          </w:p>
        </w:tc>
        <w:tc>
          <w:tcPr>
            <w:tcW w:w="4394" w:type="dxa"/>
            <w:shd w:val="clear" w:color="auto" w:fill="auto"/>
            <w:vAlign w:val="center"/>
          </w:tcPr>
          <w:p>
            <w:pPr>
              <w:widowControl/>
              <w:snapToGrid w:val="0"/>
              <w:jc w:val="left"/>
              <w:rPr>
                <w:kern w:val="0"/>
                <w:sz w:val="24"/>
                <w:szCs w:val="21"/>
              </w:rPr>
            </w:pP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7" w:type="dxa"/>
            <w:gridSpan w:val="5"/>
            <w:shd w:val="clear" w:color="auto" w:fill="auto"/>
            <w:vAlign w:val="center"/>
          </w:tcPr>
          <w:p>
            <w:pPr>
              <w:widowControl/>
              <w:snapToGrid w:val="0"/>
              <w:ind w:firstLine="240" w:firstLineChars="100"/>
              <w:rPr>
                <w:kern w:val="0"/>
                <w:sz w:val="24"/>
                <w:szCs w:val="21"/>
              </w:rPr>
            </w:pPr>
            <w:r>
              <w:rPr>
                <w:rFonts w:hint="eastAsia"/>
                <w:kern w:val="0"/>
                <w:sz w:val="24"/>
                <w:szCs w:val="21"/>
              </w:rPr>
              <w:t>4</w:t>
            </w:r>
            <w:r>
              <w:rPr>
                <w:kern w:val="0"/>
                <w:sz w:val="24"/>
                <w:szCs w:val="21"/>
              </w:rPr>
              <w:t>.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394" w:type="dxa"/>
            <w:shd w:val="clear" w:color="auto" w:fill="auto"/>
            <w:vAlign w:val="center"/>
          </w:tcPr>
          <w:p>
            <w:pPr>
              <w:widowControl/>
              <w:snapToGrid w:val="0"/>
              <w:jc w:val="center"/>
              <w:rPr>
                <w:kern w:val="0"/>
                <w:sz w:val="24"/>
                <w:szCs w:val="21"/>
              </w:rPr>
            </w:pPr>
            <w:r>
              <w:rPr>
                <w:kern w:val="0"/>
                <w:sz w:val="24"/>
                <w:szCs w:val="21"/>
              </w:rPr>
              <w:t>磋商要求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394"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394"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394"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394"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394"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bl>
    <w:p>
      <w:pPr>
        <w:spacing w:line="620" w:lineRule="exact"/>
        <w:rPr>
          <w:sz w:val="24"/>
        </w:rPr>
      </w:pPr>
      <w:r>
        <w:rPr>
          <w:sz w:val="24"/>
        </w:rPr>
        <w:t>注：</w:t>
      </w:r>
    </w:p>
    <w:p>
      <w:pPr>
        <w:spacing w:line="360" w:lineRule="auto"/>
        <w:rPr>
          <w:sz w:val="24"/>
        </w:rPr>
      </w:pPr>
      <w:r>
        <w:rPr>
          <w:sz w:val="24"/>
        </w:rPr>
        <w:t>1. 不如实填写偏离情况的响应文件将视为虚假材料。</w:t>
      </w:r>
    </w:p>
    <w:p>
      <w:pPr>
        <w:spacing w:line="360" w:lineRule="auto"/>
        <w:rPr>
          <w:sz w:val="24"/>
        </w:rPr>
      </w:pPr>
      <w:r>
        <w:rPr>
          <w:sz w:val="24"/>
        </w:rPr>
        <w:t>2. 磋商要求指磋商文件中规定的具体要求，投标应答指响应文件的具体内容。</w:t>
      </w:r>
    </w:p>
    <w:p>
      <w:pPr>
        <w:spacing w:line="360" w:lineRule="auto"/>
        <w:rPr>
          <w:sz w:val="24"/>
        </w:rPr>
      </w:pPr>
      <w:r>
        <w:rPr>
          <w:sz w:val="24"/>
        </w:rPr>
        <w:t>3. 偏离说明指磋商要求与投标应答之间的不同之处。</w:t>
      </w:r>
    </w:p>
    <w:p>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line="360" w:lineRule="auto"/>
        <w:ind w:firstLine="4080" w:firstLineChars="1700"/>
        <w:rPr>
          <w:sz w:val="24"/>
        </w:rPr>
      </w:pPr>
      <w:r>
        <w:rPr>
          <w:sz w:val="24"/>
        </w:rPr>
        <w:t>投标人名称：</w:t>
      </w:r>
    </w:p>
    <w:p>
      <w:pPr>
        <w:spacing w:line="360" w:lineRule="auto"/>
        <w:ind w:firstLine="4080" w:firstLineChars="1700"/>
        <w:rPr>
          <w:b/>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b/>
          <w:sz w:val="24"/>
        </w:rPr>
        <w:br w:type="page"/>
      </w:r>
    </w:p>
    <w:p>
      <w:pPr>
        <w:spacing w:line="460" w:lineRule="exact"/>
        <w:rPr>
          <w:b/>
          <w:sz w:val="24"/>
        </w:rPr>
      </w:pPr>
      <w:r>
        <w:rPr>
          <w:rFonts w:hint="eastAsia"/>
          <w:b/>
          <w:sz w:val="24"/>
        </w:rPr>
        <w:t>附件4-3</w:t>
      </w:r>
    </w:p>
    <w:p>
      <w:pPr>
        <w:spacing w:line="460" w:lineRule="exact"/>
        <w:ind w:left="192"/>
        <w:rPr>
          <w:b/>
          <w:sz w:val="24"/>
        </w:rPr>
      </w:pPr>
    </w:p>
    <w:p>
      <w:pPr>
        <w:widowControl/>
        <w:jc w:val="center"/>
        <w:rPr>
          <w:b/>
          <w:sz w:val="24"/>
        </w:rPr>
      </w:pPr>
      <w:r>
        <w:rPr>
          <w:rFonts w:hint="eastAsia"/>
          <w:b/>
          <w:sz w:val="24"/>
        </w:rPr>
        <w:t>项目人员及岗位安排</w:t>
      </w:r>
    </w:p>
    <w:p>
      <w:pPr>
        <w:widowControl/>
        <w:jc w:val="lef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widowControl/>
        <w:jc w:val="left"/>
        <w:rPr>
          <w:sz w:val="24"/>
        </w:rPr>
      </w:pPr>
    </w:p>
    <w:p>
      <w:pPr>
        <w:widowControl/>
        <w:jc w:val="left"/>
        <w:rPr>
          <w:sz w:val="24"/>
        </w:rPr>
      </w:pPr>
    </w:p>
    <w:tbl>
      <w:tblPr>
        <w:tblStyle w:val="17"/>
        <w:tblW w:w="52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23"/>
        <w:gridCol w:w="1221"/>
        <w:gridCol w:w="1991"/>
        <w:gridCol w:w="1207"/>
        <w:gridCol w:w="1293"/>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spacing w:line="360" w:lineRule="auto"/>
              <w:jc w:val="center"/>
              <w:rPr>
                <w:b/>
                <w:szCs w:val="21"/>
              </w:rPr>
            </w:pPr>
            <w:r>
              <w:rPr>
                <w:b/>
                <w:szCs w:val="21"/>
              </w:rPr>
              <w:t>序号</w:t>
            </w:r>
          </w:p>
        </w:tc>
        <w:tc>
          <w:tcPr>
            <w:tcW w:w="680" w:type="pct"/>
            <w:vAlign w:val="center"/>
          </w:tcPr>
          <w:p>
            <w:pPr>
              <w:spacing w:line="360" w:lineRule="auto"/>
              <w:jc w:val="center"/>
              <w:rPr>
                <w:b/>
                <w:szCs w:val="21"/>
              </w:rPr>
            </w:pPr>
            <w:r>
              <w:rPr>
                <w:b/>
                <w:szCs w:val="21"/>
              </w:rPr>
              <w:t>岗位名称</w:t>
            </w:r>
          </w:p>
        </w:tc>
        <w:tc>
          <w:tcPr>
            <w:tcW w:w="679" w:type="pct"/>
            <w:vAlign w:val="center"/>
          </w:tcPr>
          <w:p>
            <w:pPr>
              <w:spacing w:line="360" w:lineRule="auto"/>
              <w:jc w:val="center"/>
              <w:rPr>
                <w:b/>
                <w:szCs w:val="21"/>
              </w:rPr>
            </w:pPr>
            <w:r>
              <w:rPr>
                <w:rFonts w:hint="eastAsia"/>
                <w:b/>
                <w:szCs w:val="21"/>
              </w:rPr>
              <w:t>投入</w:t>
            </w:r>
            <w:r>
              <w:rPr>
                <w:b/>
                <w:szCs w:val="21"/>
              </w:rPr>
              <w:t>人数</w:t>
            </w:r>
          </w:p>
        </w:tc>
        <w:tc>
          <w:tcPr>
            <w:tcW w:w="1107" w:type="pct"/>
            <w:vAlign w:val="center"/>
          </w:tcPr>
          <w:p>
            <w:pPr>
              <w:spacing w:line="360" w:lineRule="auto"/>
              <w:jc w:val="center"/>
              <w:rPr>
                <w:b/>
                <w:szCs w:val="21"/>
              </w:rPr>
            </w:pPr>
            <w:r>
              <w:rPr>
                <w:rFonts w:hint="eastAsia"/>
                <w:b/>
                <w:szCs w:val="21"/>
              </w:rPr>
              <w:t>人员情况简介</w:t>
            </w:r>
          </w:p>
        </w:tc>
        <w:tc>
          <w:tcPr>
            <w:tcW w:w="671" w:type="pct"/>
            <w:vAlign w:val="center"/>
          </w:tcPr>
          <w:p>
            <w:pPr>
              <w:spacing w:line="360" w:lineRule="auto"/>
              <w:jc w:val="center"/>
              <w:rPr>
                <w:b/>
                <w:szCs w:val="21"/>
              </w:rPr>
            </w:pPr>
            <w:r>
              <w:rPr>
                <w:rFonts w:hint="eastAsia"/>
                <w:b/>
                <w:szCs w:val="21"/>
              </w:rPr>
              <w:t>是否退休</w:t>
            </w:r>
          </w:p>
        </w:tc>
        <w:tc>
          <w:tcPr>
            <w:tcW w:w="719" w:type="pct"/>
            <w:vAlign w:val="center"/>
          </w:tcPr>
          <w:p>
            <w:pPr>
              <w:spacing w:line="360" w:lineRule="auto"/>
              <w:jc w:val="center"/>
              <w:rPr>
                <w:b/>
                <w:szCs w:val="21"/>
              </w:rPr>
            </w:pPr>
            <w:r>
              <w:rPr>
                <w:b/>
                <w:szCs w:val="21"/>
              </w:rPr>
              <w:t>工作时间</w:t>
            </w:r>
          </w:p>
        </w:tc>
        <w:tc>
          <w:tcPr>
            <w:tcW w:w="721" w:type="pct"/>
          </w:tcPr>
          <w:p>
            <w:pPr>
              <w:spacing w:line="360" w:lineRule="auto"/>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spacing w:line="360" w:lineRule="auto"/>
              <w:jc w:val="center"/>
              <w:rPr>
                <w:szCs w:val="21"/>
              </w:rPr>
            </w:pPr>
          </w:p>
        </w:tc>
        <w:tc>
          <w:tcPr>
            <w:tcW w:w="680" w:type="pct"/>
            <w:vAlign w:val="center"/>
          </w:tcPr>
          <w:p>
            <w:pPr>
              <w:spacing w:line="360" w:lineRule="auto"/>
              <w:jc w:val="center"/>
              <w:rPr>
                <w:szCs w:val="21"/>
              </w:rPr>
            </w:pPr>
          </w:p>
        </w:tc>
        <w:tc>
          <w:tcPr>
            <w:tcW w:w="679" w:type="pct"/>
            <w:vAlign w:val="center"/>
          </w:tcPr>
          <w:p>
            <w:pPr>
              <w:spacing w:line="360" w:lineRule="auto"/>
              <w:jc w:val="center"/>
              <w:rPr>
                <w:szCs w:val="21"/>
              </w:rPr>
            </w:pPr>
          </w:p>
        </w:tc>
        <w:tc>
          <w:tcPr>
            <w:tcW w:w="1107" w:type="pct"/>
            <w:vAlign w:val="center"/>
          </w:tcPr>
          <w:p>
            <w:pPr>
              <w:spacing w:line="360" w:lineRule="auto"/>
              <w:jc w:val="center"/>
              <w:rPr>
                <w:szCs w:val="21"/>
              </w:rPr>
            </w:pPr>
          </w:p>
        </w:tc>
        <w:tc>
          <w:tcPr>
            <w:tcW w:w="671" w:type="pct"/>
            <w:vAlign w:val="center"/>
          </w:tcPr>
          <w:p>
            <w:pPr>
              <w:spacing w:line="360" w:lineRule="auto"/>
              <w:jc w:val="center"/>
              <w:rPr>
                <w:szCs w:val="21"/>
              </w:rPr>
            </w:pPr>
          </w:p>
        </w:tc>
        <w:tc>
          <w:tcPr>
            <w:tcW w:w="719" w:type="pct"/>
            <w:vAlign w:val="center"/>
          </w:tcPr>
          <w:p>
            <w:pPr>
              <w:spacing w:line="360" w:lineRule="auto"/>
              <w:jc w:val="center"/>
              <w:rPr>
                <w:szCs w:val="21"/>
              </w:rPr>
            </w:pPr>
          </w:p>
        </w:tc>
        <w:tc>
          <w:tcPr>
            <w:tcW w:w="721"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spacing w:line="360" w:lineRule="auto"/>
              <w:jc w:val="center"/>
              <w:rPr>
                <w:szCs w:val="21"/>
              </w:rPr>
            </w:pPr>
          </w:p>
        </w:tc>
        <w:tc>
          <w:tcPr>
            <w:tcW w:w="680" w:type="pct"/>
            <w:vAlign w:val="center"/>
          </w:tcPr>
          <w:p>
            <w:pPr>
              <w:spacing w:line="360" w:lineRule="auto"/>
              <w:jc w:val="center"/>
              <w:rPr>
                <w:szCs w:val="21"/>
              </w:rPr>
            </w:pPr>
          </w:p>
        </w:tc>
        <w:tc>
          <w:tcPr>
            <w:tcW w:w="679" w:type="pct"/>
            <w:vAlign w:val="center"/>
          </w:tcPr>
          <w:p>
            <w:pPr>
              <w:spacing w:line="360" w:lineRule="auto"/>
              <w:jc w:val="center"/>
              <w:rPr>
                <w:szCs w:val="21"/>
              </w:rPr>
            </w:pPr>
          </w:p>
        </w:tc>
        <w:tc>
          <w:tcPr>
            <w:tcW w:w="1107" w:type="pct"/>
            <w:vAlign w:val="center"/>
          </w:tcPr>
          <w:p>
            <w:pPr>
              <w:spacing w:line="360" w:lineRule="auto"/>
              <w:jc w:val="center"/>
              <w:rPr>
                <w:szCs w:val="21"/>
              </w:rPr>
            </w:pPr>
          </w:p>
        </w:tc>
        <w:tc>
          <w:tcPr>
            <w:tcW w:w="671" w:type="pct"/>
            <w:vAlign w:val="center"/>
          </w:tcPr>
          <w:p>
            <w:pPr>
              <w:spacing w:line="360" w:lineRule="auto"/>
              <w:jc w:val="center"/>
              <w:rPr>
                <w:szCs w:val="21"/>
              </w:rPr>
            </w:pPr>
          </w:p>
        </w:tc>
        <w:tc>
          <w:tcPr>
            <w:tcW w:w="719" w:type="pct"/>
            <w:vAlign w:val="center"/>
          </w:tcPr>
          <w:p>
            <w:pPr>
              <w:spacing w:line="360" w:lineRule="auto"/>
              <w:jc w:val="center"/>
              <w:rPr>
                <w:szCs w:val="21"/>
              </w:rPr>
            </w:pPr>
          </w:p>
        </w:tc>
        <w:tc>
          <w:tcPr>
            <w:tcW w:w="721"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spacing w:line="360" w:lineRule="auto"/>
              <w:jc w:val="center"/>
              <w:rPr>
                <w:szCs w:val="21"/>
              </w:rPr>
            </w:pPr>
          </w:p>
        </w:tc>
        <w:tc>
          <w:tcPr>
            <w:tcW w:w="680" w:type="pct"/>
            <w:vAlign w:val="center"/>
          </w:tcPr>
          <w:p>
            <w:pPr>
              <w:spacing w:line="360" w:lineRule="auto"/>
              <w:jc w:val="center"/>
              <w:rPr>
                <w:szCs w:val="21"/>
              </w:rPr>
            </w:pPr>
          </w:p>
        </w:tc>
        <w:tc>
          <w:tcPr>
            <w:tcW w:w="679" w:type="pct"/>
            <w:vAlign w:val="center"/>
          </w:tcPr>
          <w:p>
            <w:pPr>
              <w:spacing w:line="360" w:lineRule="auto"/>
              <w:jc w:val="center"/>
              <w:rPr>
                <w:szCs w:val="21"/>
              </w:rPr>
            </w:pPr>
          </w:p>
        </w:tc>
        <w:tc>
          <w:tcPr>
            <w:tcW w:w="1107" w:type="pct"/>
            <w:vAlign w:val="center"/>
          </w:tcPr>
          <w:p>
            <w:pPr>
              <w:spacing w:line="360" w:lineRule="auto"/>
              <w:jc w:val="center"/>
              <w:rPr>
                <w:szCs w:val="21"/>
              </w:rPr>
            </w:pPr>
          </w:p>
        </w:tc>
        <w:tc>
          <w:tcPr>
            <w:tcW w:w="671" w:type="pct"/>
            <w:vAlign w:val="center"/>
          </w:tcPr>
          <w:p>
            <w:pPr>
              <w:spacing w:line="360" w:lineRule="auto"/>
              <w:jc w:val="center"/>
              <w:rPr>
                <w:szCs w:val="21"/>
              </w:rPr>
            </w:pPr>
          </w:p>
        </w:tc>
        <w:tc>
          <w:tcPr>
            <w:tcW w:w="719" w:type="pct"/>
            <w:vAlign w:val="center"/>
          </w:tcPr>
          <w:p>
            <w:pPr>
              <w:spacing w:line="360" w:lineRule="auto"/>
              <w:jc w:val="center"/>
              <w:rPr>
                <w:szCs w:val="21"/>
              </w:rPr>
            </w:pPr>
          </w:p>
        </w:tc>
        <w:tc>
          <w:tcPr>
            <w:tcW w:w="721"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spacing w:line="360" w:lineRule="auto"/>
              <w:jc w:val="center"/>
              <w:rPr>
                <w:szCs w:val="21"/>
              </w:rPr>
            </w:pPr>
          </w:p>
        </w:tc>
        <w:tc>
          <w:tcPr>
            <w:tcW w:w="680" w:type="pct"/>
            <w:vAlign w:val="center"/>
          </w:tcPr>
          <w:p>
            <w:pPr>
              <w:spacing w:line="360" w:lineRule="auto"/>
              <w:jc w:val="center"/>
              <w:rPr>
                <w:szCs w:val="21"/>
              </w:rPr>
            </w:pPr>
          </w:p>
        </w:tc>
        <w:tc>
          <w:tcPr>
            <w:tcW w:w="679" w:type="pct"/>
            <w:vAlign w:val="center"/>
          </w:tcPr>
          <w:p>
            <w:pPr>
              <w:spacing w:line="360" w:lineRule="auto"/>
              <w:jc w:val="center"/>
              <w:rPr>
                <w:szCs w:val="21"/>
              </w:rPr>
            </w:pPr>
          </w:p>
        </w:tc>
        <w:tc>
          <w:tcPr>
            <w:tcW w:w="1107" w:type="pct"/>
            <w:vAlign w:val="center"/>
          </w:tcPr>
          <w:p>
            <w:pPr>
              <w:spacing w:line="360" w:lineRule="auto"/>
              <w:jc w:val="center"/>
              <w:rPr>
                <w:szCs w:val="21"/>
              </w:rPr>
            </w:pPr>
          </w:p>
        </w:tc>
        <w:tc>
          <w:tcPr>
            <w:tcW w:w="671" w:type="pct"/>
            <w:vAlign w:val="center"/>
          </w:tcPr>
          <w:p>
            <w:pPr>
              <w:spacing w:line="360" w:lineRule="auto"/>
              <w:jc w:val="center"/>
              <w:rPr>
                <w:szCs w:val="21"/>
              </w:rPr>
            </w:pPr>
          </w:p>
        </w:tc>
        <w:tc>
          <w:tcPr>
            <w:tcW w:w="719" w:type="pct"/>
            <w:vAlign w:val="center"/>
          </w:tcPr>
          <w:p>
            <w:pPr>
              <w:spacing w:line="360" w:lineRule="auto"/>
              <w:jc w:val="center"/>
              <w:rPr>
                <w:szCs w:val="21"/>
              </w:rPr>
            </w:pPr>
          </w:p>
        </w:tc>
        <w:tc>
          <w:tcPr>
            <w:tcW w:w="721"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spacing w:line="360" w:lineRule="auto"/>
              <w:jc w:val="center"/>
              <w:rPr>
                <w:szCs w:val="21"/>
              </w:rPr>
            </w:pPr>
          </w:p>
        </w:tc>
        <w:tc>
          <w:tcPr>
            <w:tcW w:w="680" w:type="pct"/>
            <w:vAlign w:val="center"/>
          </w:tcPr>
          <w:p>
            <w:pPr>
              <w:spacing w:line="360" w:lineRule="auto"/>
              <w:jc w:val="center"/>
              <w:rPr>
                <w:szCs w:val="21"/>
              </w:rPr>
            </w:pPr>
          </w:p>
        </w:tc>
        <w:tc>
          <w:tcPr>
            <w:tcW w:w="679" w:type="pct"/>
            <w:vAlign w:val="center"/>
          </w:tcPr>
          <w:p>
            <w:pPr>
              <w:spacing w:line="360" w:lineRule="auto"/>
              <w:jc w:val="center"/>
              <w:rPr>
                <w:szCs w:val="21"/>
              </w:rPr>
            </w:pPr>
          </w:p>
        </w:tc>
        <w:tc>
          <w:tcPr>
            <w:tcW w:w="1107" w:type="pct"/>
            <w:vAlign w:val="center"/>
          </w:tcPr>
          <w:p>
            <w:pPr>
              <w:spacing w:line="360" w:lineRule="auto"/>
              <w:jc w:val="center"/>
              <w:rPr>
                <w:szCs w:val="21"/>
              </w:rPr>
            </w:pPr>
          </w:p>
        </w:tc>
        <w:tc>
          <w:tcPr>
            <w:tcW w:w="671" w:type="pct"/>
            <w:vAlign w:val="center"/>
          </w:tcPr>
          <w:p>
            <w:pPr>
              <w:spacing w:line="360" w:lineRule="auto"/>
              <w:jc w:val="center"/>
              <w:rPr>
                <w:szCs w:val="21"/>
              </w:rPr>
            </w:pPr>
          </w:p>
        </w:tc>
        <w:tc>
          <w:tcPr>
            <w:tcW w:w="719" w:type="pct"/>
            <w:vAlign w:val="center"/>
          </w:tcPr>
          <w:p>
            <w:pPr>
              <w:spacing w:line="360" w:lineRule="auto"/>
              <w:jc w:val="center"/>
              <w:rPr>
                <w:szCs w:val="21"/>
              </w:rPr>
            </w:pPr>
          </w:p>
        </w:tc>
        <w:tc>
          <w:tcPr>
            <w:tcW w:w="721"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spacing w:line="360" w:lineRule="auto"/>
              <w:jc w:val="center"/>
              <w:rPr>
                <w:szCs w:val="21"/>
              </w:rPr>
            </w:pPr>
          </w:p>
        </w:tc>
        <w:tc>
          <w:tcPr>
            <w:tcW w:w="680" w:type="pct"/>
            <w:vAlign w:val="center"/>
          </w:tcPr>
          <w:p>
            <w:pPr>
              <w:spacing w:line="360" w:lineRule="auto"/>
              <w:jc w:val="center"/>
              <w:rPr>
                <w:szCs w:val="21"/>
              </w:rPr>
            </w:pPr>
          </w:p>
        </w:tc>
        <w:tc>
          <w:tcPr>
            <w:tcW w:w="679" w:type="pct"/>
            <w:vAlign w:val="center"/>
          </w:tcPr>
          <w:p>
            <w:pPr>
              <w:spacing w:line="360" w:lineRule="auto"/>
              <w:jc w:val="center"/>
              <w:rPr>
                <w:szCs w:val="21"/>
              </w:rPr>
            </w:pPr>
          </w:p>
        </w:tc>
        <w:tc>
          <w:tcPr>
            <w:tcW w:w="1107" w:type="pct"/>
            <w:vAlign w:val="center"/>
          </w:tcPr>
          <w:p>
            <w:pPr>
              <w:spacing w:line="360" w:lineRule="auto"/>
              <w:jc w:val="center"/>
              <w:rPr>
                <w:szCs w:val="21"/>
              </w:rPr>
            </w:pPr>
          </w:p>
        </w:tc>
        <w:tc>
          <w:tcPr>
            <w:tcW w:w="671" w:type="pct"/>
            <w:vAlign w:val="center"/>
          </w:tcPr>
          <w:p>
            <w:pPr>
              <w:spacing w:line="360" w:lineRule="auto"/>
              <w:jc w:val="center"/>
              <w:rPr>
                <w:szCs w:val="21"/>
              </w:rPr>
            </w:pPr>
          </w:p>
        </w:tc>
        <w:tc>
          <w:tcPr>
            <w:tcW w:w="719" w:type="pct"/>
            <w:vAlign w:val="center"/>
          </w:tcPr>
          <w:p>
            <w:pPr>
              <w:spacing w:line="360" w:lineRule="auto"/>
              <w:jc w:val="center"/>
              <w:rPr>
                <w:szCs w:val="21"/>
              </w:rPr>
            </w:pPr>
          </w:p>
        </w:tc>
        <w:tc>
          <w:tcPr>
            <w:tcW w:w="721"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pct"/>
            <w:gridSpan w:val="2"/>
            <w:vAlign w:val="center"/>
          </w:tcPr>
          <w:p>
            <w:pPr>
              <w:spacing w:line="360" w:lineRule="auto"/>
              <w:jc w:val="center"/>
              <w:rPr>
                <w:szCs w:val="21"/>
              </w:rPr>
            </w:pPr>
            <w:r>
              <w:rPr>
                <w:rFonts w:hint="eastAsia"/>
                <w:szCs w:val="21"/>
              </w:rPr>
              <w:t>合计人数</w:t>
            </w:r>
          </w:p>
        </w:tc>
        <w:tc>
          <w:tcPr>
            <w:tcW w:w="3897" w:type="pct"/>
            <w:gridSpan w:val="5"/>
            <w:vAlign w:val="center"/>
          </w:tcPr>
          <w:p>
            <w:pPr>
              <w:spacing w:line="360" w:lineRule="auto"/>
              <w:jc w:val="center"/>
              <w:rPr>
                <w:szCs w:val="21"/>
              </w:rPr>
            </w:pPr>
          </w:p>
        </w:tc>
      </w:tr>
    </w:tbl>
    <w:p>
      <w:pPr>
        <w:widowControl/>
        <w:spacing w:line="360" w:lineRule="auto"/>
        <w:ind w:firstLine="480" w:firstLineChars="200"/>
        <w:jc w:val="left"/>
        <w:rPr>
          <w:sz w:val="24"/>
        </w:rPr>
      </w:pPr>
      <w:r>
        <w:rPr>
          <w:rFonts w:hint="eastAsia"/>
          <w:sz w:val="24"/>
        </w:rPr>
        <w:t>我公司承诺上述人员身体健康，一旦我公司获得成交，承诺上述人员投入本项目服务，非经采购人同意，不随意更换人员。</w:t>
      </w:r>
    </w:p>
    <w:p>
      <w:pPr>
        <w:widowControl/>
        <w:spacing w:line="360" w:lineRule="auto"/>
        <w:ind w:firstLine="480"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pPr>
        <w:widowControl/>
        <w:jc w:val="left"/>
        <w:rPr>
          <w:sz w:val="24"/>
        </w:rPr>
      </w:pPr>
    </w:p>
    <w:p>
      <w:pPr>
        <w:widowControl/>
        <w:jc w:val="left"/>
        <w:rPr>
          <w:sz w:val="24"/>
        </w:rPr>
      </w:pPr>
    </w:p>
    <w:p>
      <w:pPr>
        <w:widowControl/>
        <w:jc w:val="left"/>
        <w:rPr>
          <w:sz w:val="24"/>
        </w:rPr>
      </w:pPr>
    </w:p>
    <w:p>
      <w:pPr>
        <w:widowControl/>
        <w:jc w:val="left"/>
        <w:rPr>
          <w:sz w:val="24"/>
        </w:rPr>
      </w:pPr>
    </w:p>
    <w:p>
      <w:pPr>
        <w:spacing w:line="360" w:lineRule="auto"/>
        <w:ind w:right="84" w:firstLine="240" w:firstLineChars="100"/>
        <w:rPr>
          <w:sz w:val="24"/>
        </w:rPr>
      </w:pPr>
      <w:r>
        <w:rPr>
          <w:sz w:val="24"/>
        </w:rPr>
        <w:t>投标人名称：</w:t>
      </w:r>
    </w:p>
    <w:p>
      <w:pPr>
        <w:spacing w:line="360" w:lineRule="auto"/>
        <w:ind w:right="84" w:firstLine="240" w:firstLineChars="100"/>
        <w:rPr>
          <w:sz w:val="24"/>
        </w:rPr>
      </w:pPr>
    </w:p>
    <w:p>
      <w:pPr>
        <w:spacing w:line="360" w:lineRule="auto"/>
        <w:ind w:right="84" w:firstLine="240" w:firstLineChars="1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60" w:lineRule="exact"/>
        <w:ind w:left="192"/>
        <w:rPr>
          <w:b/>
          <w:sz w:val="24"/>
        </w:rPr>
      </w:pPr>
    </w:p>
    <w:p>
      <w:pPr>
        <w:spacing w:line="460" w:lineRule="exact"/>
        <w:ind w:left="192"/>
        <w:rPr>
          <w:b/>
          <w:sz w:val="24"/>
        </w:rPr>
      </w:pPr>
    </w:p>
    <w:p>
      <w:pPr>
        <w:widowControl/>
        <w:jc w:val="left"/>
        <w:rPr>
          <w:b/>
          <w:sz w:val="24"/>
        </w:rPr>
      </w:pPr>
      <w:r>
        <w:rPr>
          <w:b/>
          <w:sz w:val="24"/>
        </w:rPr>
        <w:br w:type="page"/>
      </w:r>
    </w:p>
    <w:p>
      <w:pPr>
        <w:spacing w:line="460" w:lineRule="exact"/>
        <w:rPr>
          <w:b/>
          <w:sz w:val="24"/>
        </w:rPr>
      </w:pPr>
      <w:r>
        <w:rPr>
          <w:b/>
          <w:sz w:val="24"/>
        </w:rPr>
        <w:t>附件5：评分因素中要求的各项方案、证明材料等</w:t>
      </w:r>
    </w:p>
    <w:p>
      <w:pPr>
        <w:spacing w:line="360" w:lineRule="auto"/>
        <w:ind w:firstLine="480" w:firstLineChars="200"/>
        <w:rPr>
          <w:bCs/>
          <w:color w:val="000000"/>
          <w:sz w:val="24"/>
        </w:rPr>
      </w:pPr>
    </w:p>
    <w:p>
      <w:pPr>
        <w:spacing w:line="360" w:lineRule="auto"/>
        <w:ind w:firstLine="480" w:firstLineChars="200"/>
        <w:rPr>
          <w:color w:val="000000"/>
          <w:sz w:val="24"/>
        </w:rPr>
      </w:pPr>
      <w:r>
        <w:rPr>
          <w:bCs/>
          <w:color w:val="000000"/>
          <w:sz w:val="24"/>
        </w:rPr>
        <w:t>请投标人根据磋商文件“评分因素及评审标准”中的</w:t>
      </w:r>
      <w:r>
        <w:rPr>
          <w:color w:val="000000"/>
          <w:sz w:val="24"/>
        </w:rPr>
        <w:t>要求，按顺序提供详细的方案、证明材料等。</w:t>
      </w:r>
    </w:p>
    <w:p>
      <w:pPr>
        <w:spacing w:line="360" w:lineRule="auto"/>
        <w:ind w:firstLine="480" w:firstLineChars="200"/>
        <w:rPr>
          <w:color w:val="000000"/>
          <w:sz w:val="24"/>
        </w:rPr>
      </w:pPr>
      <w:r>
        <w:rPr>
          <w:color w:val="000000"/>
          <w:sz w:val="24"/>
        </w:rPr>
        <w:t>投标人将专项服务委托专业公司承担的，应当进行说明。</w:t>
      </w:r>
    </w:p>
    <w:p>
      <w:pPr>
        <w:spacing w:line="360" w:lineRule="auto"/>
        <w:ind w:firstLine="480" w:firstLineChars="200"/>
        <w:rPr>
          <w:color w:val="000000"/>
          <w:sz w:val="24"/>
        </w:rPr>
      </w:pPr>
      <w:r>
        <w:rPr>
          <w:color w:val="000000"/>
          <w:sz w:val="24"/>
        </w:rPr>
        <w:t>投标人认为必需的其他内容。</w:t>
      </w:r>
    </w:p>
    <w:p>
      <w:pPr>
        <w:spacing w:line="460" w:lineRule="exact"/>
        <w:ind w:left="192"/>
        <w:jc w:val="left"/>
        <w:rPr>
          <w:sz w:val="24"/>
        </w:rPr>
      </w:pPr>
    </w:p>
    <w:p>
      <w:pPr>
        <w:spacing w:line="480" w:lineRule="auto"/>
      </w:pPr>
      <w:r>
        <w:rPr>
          <w:b/>
          <w:sz w:val="24"/>
        </w:rPr>
        <w:br w:type="page"/>
      </w:r>
      <w:r>
        <w:rPr>
          <w:b/>
          <w:sz w:val="24"/>
        </w:rPr>
        <w:t>附件6</w:t>
      </w:r>
    </w:p>
    <w:p>
      <w:pPr>
        <w:spacing w:line="560" w:lineRule="exact"/>
        <w:jc w:val="center"/>
        <w:rPr>
          <w:b/>
          <w:sz w:val="24"/>
        </w:rPr>
      </w:pPr>
      <w:r>
        <w:rPr>
          <w:b/>
          <w:sz w:val="24"/>
        </w:rPr>
        <w:t>投标人</w:t>
      </w:r>
      <w:r>
        <w:rPr>
          <w:rFonts w:hint="eastAsia"/>
          <w:b/>
          <w:sz w:val="24"/>
        </w:rPr>
        <w:t>业绩</w:t>
      </w:r>
    </w:p>
    <w:p>
      <w:pPr>
        <w:spacing w:line="460" w:lineRule="exact"/>
        <w:ind w:left="192"/>
        <w:rPr>
          <w:sz w:val="24"/>
        </w:rPr>
      </w:pPr>
      <w:r>
        <w:rPr>
          <w:sz w:val="24"/>
        </w:rPr>
        <w:t>项目名称：</w:t>
      </w:r>
      <w:r>
        <w:rPr>
          <w:sz w:val="24"/>
          <w:u w:val="single"/>
        </w:rPr>
        <w:t xml:space="preserve">                    </w:t>
      </w:r>
      <w:r>
        <w:rPr>
          <w:sz w:val="24"/>
        </w:rPr>
        <w:t xml:space="preserve">                  </w:t>
      </w:r>
    </w:p>
    <w:p>
      <w:pPr>
        <w:spacing w:line="460" w:lineRule="exact"/>
        <w:ind w:left="192"/>
        <w:rPr>
          <w:sz w:val="24"/>
        </w:rPr>
      </w:pPr>
      <w:r>
        <w:rPr>
          <w:sz w:val="24"/>
        </w:rPr>
        <w:t>项目编号：</w:t>
      </w:r>
      <w:r>
        <w:rPr>
          <w:sz w:val="24"/>
          <w:u w:val="single"/>
        </w:rPr>
        <w:t xml:space="preserve">                    </w:t>
      </w:r>
      <w:r>
        <w:rPr>
          <w:sz w:val="24"/>
        </w:rPr>
        <w:t xml:space="preserve">                 </w:t>
      </w:r>
    </w:p>
    <w:p>
      <w:pPr>
        <w:spacing w:line="460" w:lineRule="exact"/>
        <w:ind w:left="192"/>
        <w:rPr>
          <w:sz w:val="24"/>
        </w:rPr>
      </w:pPr>
      <w:r>
        <w:rPr>
          <w:sz w:val="24"/>
        </w:rPr>
        <w:t xml:space="preserve"> </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314"/>
        <w:gridCol w:w="1028"/>
        <w:gridCol w:w="1314"/>
        <w:gridCol w:w="1597"/>
        <w:gridCol w:w="1168"/>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序号</w:t>
            </w: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用户单位名称</w:t>
            </w:r>
          </w:p>
        </w:tc>
        <w:tc>
          <w:tcPr>
            <w:tcW w:w="603"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项目内容</w:t>
            </w: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实施地点</w:t>
            </w:r>
          </w:p>
        </w:tc>
        <w:tc>
          <w:tcPr>
            <w:tcW w:w="937"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联系人及联系方式</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项目起止时间</w:t>
            </w:r>
          </w:p>
        </w:tc>
        <w:tc>
          <w:tcPr>
            <w:tcW w:w="602"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pPr>
              <w:jc w:val="center"/>
              <w:rPr>
                <w:b/>
                <w:sz w:val="24"/>
              </w:rPr>
            </w:pPr>
          </w:p>
        </w:tc>
      </w:tr>
    </w:tbl>
    <w:p>
      <w:pPr>
        <w:spacing w:line="460" w:lineRule="exact"/>
        <w:ind w:left="192"/>
        <w:rPr>
          <w:sz w:val="24"/>
        </w:rPr>
      </w:pPr>
    </w:p>
    <w:p>
      <w:pPr>
        <w:spacing w:line="460" w:lineRule="exact"/>
        <w:ind w:left="192"/>
        <w:rPr>
          <w:sz w:val="24"/>
        </w:rPr>
      </w:pPr>
      <w:r>
        <w:rPr>
          <w:sz w:val="24"/>
        </w:rPr>
        <w:t>备注：若第二部分要求提供投标人</w:t>
      </w:r>
      <w:r>
        <w:rPr>
          <w:rFonts w:hint="eastAsia"/>
          <w:sz w:val="24"/>
        </w:rPr>
        <w:t>业绩</w:t>
      </w:r>
      <w:r>
        <w:rPr>
          <w:sz w:val="24"/>
        </w:rPr>
        <w:t>的，投标人所列业绩应按其要求将证明材料按顺序附后。</w:t>
      </w:r>
    </w:p>
    <w:p>
      <w:pPr>
        <w:spacing w:line="560" w:lineRule="exact"/>
        <w:rPr>
          <w:b/>
          <w:sz w:val="24"/>
        </w:rPr>
      </w:pPr>
    </w:p>
    <w:p>
      <w:pPr>
        <w:spacing w:line="560" w:lineRule="exact"/>
        <w:rPr>
          <w:b/>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b/>
          <w:sz w:val="24"/>
        </w:rPr>
      </w:pPr>
      <w:r>
        <w:rPr>
          <w:b/>
          <w:sz w:val="24"/>
        </w:rPr>
        <w:br w:type="page"/>
      </w:r>
    </w:p>
    <w:p>
      <w:pPr>
        <w:spacing w:line="480" w:lineRule="auto"/>
        <w:rPr>
          <w:b/>
          <w:color w:val="000000"/>
          <w:sz w:val="24"/>
        </w:rPr>
      </w:pPr>
      <w:r>
        <w:rPr>
          <w:b/>
          <w:color w:val="000000"/>
          <w:sz w:val="24"/>
        </w:rPr>
        <w:t>附件7-1</w:t>
      </w:r>
    </w:p>
    <w:p>
      <w:pPr>
        <w:spacing w:line="480" w:lineRule="auto"/>
        <w:jc w:val="center"/>
        <w:rPr>
          <w:b/>
          <w:sz w:val="30"/>
        </w:rPr>
      </w:pPr>
      <w:r>
        <w:rPr>
          <w:b/>
          <w:color w:val="000000"/>
          <w:sz w:val="24"/>
        </w:rPr>
        <w:t>项目负责人资格审查表</w:t>
      </w:r>
    </w:p>
    <w:tbl>
      <w:tblPr>
        <w:tblStyle w:val="16"/>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姓  名</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性  别</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年  龄</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职  称</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毕业学校</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毕业时间</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所学专业</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最高学历</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spacing w:val="-12"/>
                <w:position w:val="-36"/>
                <w:sz w:val="24"/>
              </w:rPr>
              <w:t xml:space="preserve">联系电话 </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pPr>
              <w:spacing w:line="360" w:lineRule="auto"/>
              <w:ind w:right="84"/>
              <w:jc w:val="center"/>
              <w:rPr>
                <w:spacing w:val="-28"/>
                <w:position w:val="-36"/>
                <w:sz w:val="24"/>
              </w:rPr>
            </w:pPr>
            <w:r>
              <w:rPr>
                <w:position w:val="-36"/>
                <w:sz w:val="24"/>
              </w:rPr>
              <w:t>所获证书及编号</w:t>
            </w:r>
          </w:p>
        </w:tc>
        <w:tc>
          <w:tcPr>
            <w:tcW w:w="1951" w:type="dxa"/>
            <w:gridSpan w:val="3"/>
          </w:tcPr>
          <w:p>
            <w:pPr>
              <w:spacing w:line="360" w:lineRule="auto"/>
              <w:ind w:right="84"/>
              <w:jc w:val="center"/>
              <w:rPr>
                <w:position w:val="-36"/>
                <w:sz w:val="24"/>
              </w:rPr>
            </w:pPr>
          </w:p>
        </w:tc>
        <w:tc>
          <w:tcPr>
            <w:tcW w:w="3138" w:type="dxa"/>
            <w:gridSpan w:val="4"/>
          </w:tcPr>
          <w:p>
            <w:pPr>
              <w:spacing w:line="560" w:lineRule="exact"/>
              <w:jc w:val="center"/>
              <w:rPr>
                <w:sz w:val="24"/>
              </w:rPr>
            </w:pPr>
            <w:r>
              <w:rPr>
                <w:sz w:val="24"/>
              </w:rPr>
              <w:t>从事物业管理</w:t>
            </w:r>
          </w:p>
          <w:p>
            <w:pPr>
              <w:spacing w:line="360" w:lineRule="auto"/>
              <w:ind w:right="84"/>
              <w:jc w:val="center"/>
              <w:rPr>
                <w:position w:val="-36"/>
                <w:sz w:val="24"/>
              </w:rPr>
            </w:pPr>
            <w:r>
              <w:rPr>
                <w:sz w:val="24"/>
              </w:rPr>
              <w:t>工作年限</w:t>
            </w:r>
          </w:p>
        </w:tc>
        <w:tc>
          <w:tcPr>
            <w:tcW w:w="1472" w:type="dxa"/>
            <w:gridSpan w:val="2"/>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近三年来的主要工作业绩及担任的主要工作经历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地  点</w:t>
            </w:r>
          </w:p>
        </w:tc>
        <w:tc>
          <w:tcPr>
            <w:tcW w:w="1445" w:type="dxa"/>
            <w:gridSpan w:val="2"/>
          </w:tcPr>
          <w:p>
            <w:pPr>
              <w:spacing w:line="360" w:lineRule="auto"/>
              <w:ind w:right="84"/>
              <w:jc w:val="center"/>
              <w:rPr>
                <w:position w:val="-36"/>
                <w:sz w:val="24"/>
              </w:rPr>
            </w:pPr>
            <w:r>
              <w:rPr>
                <w:position w:val="-36"/>
                <w:sz w:val="24"/>
              </w:rPr>
              <w:t>单  位</w:t>
            </w:r>
          </w:p>
        </w:tc>
        <w:tc>
          <w:tcPr>
            <w:tcW w:w="944" w:type="dxa"/>
            <w:gridSpan w:val="2"/>
          </w:tcPr>
          <w:p>
            <w:pPr>
              <w:spacing w:line="360" w:lineRule="auto"/>
              <w:ind w:right="84"/>
              <w:jc w:val="center"/>
              <w:rPr>
                <w:position w:val="-36"/>
                <w:sz w:val="24"/>
              </w:rPr>
            </w:pPr>
            <w:r>
              <w:rPr>
                <w:position w:val="-36"/>
                <w:sz w:val="24"/>
              </w:rPr>
              <w:t>职 务</w:t>
            </w:r>
          </w:p>
        </w:tc>
        <w:tc>
          <w:tcPr>
            <w:tcW w:w="4172" w:type="dxa"/>
            <w:gridSpan w:val="5"/>
          </w:tcPr>
          <w:p>
            <w:pPr>
              <w:spacing w:line="360" w:lineRule="auto"/>
              <w:ind w:right="84"/>
              <w:jc w:val="center"/>
              <w:rPr>
                <w:position w:val="-36"/>
                <w:sz w:val="24"/>
              </w:rPr>
            </w:pPr>
            <w:r>
              <w:rPr>
                <w:position w:val="-36"/>
                <w:sz w:val="24"/>
              </w:rPr>
              <w:t>主 要 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Pr>
          <w:p>
            <w:pPr>
              <w:spacing w:line="360" w:lineRule="auto"/>
              <w:ind w:right="84"/>
              <w:rPr>
                <w:position w:val="-36"/>
                <w:sz w:val="24"/>
              </w:rPr>
            </w:pPr>
          </w:p>
        </w:tc>
        <w:tc>
          <w:tcPr>
            <w:tcW w:w="1445" w:type="dxa"/>
            <w:gridSpan w:val="2"/>
          </w:tcPr>
          <w:p>
            <w:pPr>
              <w:spacing w:line="360" w:lineRule="auto"/>
              <w:ind w:right="84"/>
              <w:rPr>
                <w:position w:val="-36"/>
                <w:sz w:val="24"/>
              </w:rPr>
            </w:pPr>
          </w:p>
        </w:tc>
        <w:tc>
          <w:tcPr>
            <w:tcW w:w="944" w:type="dxa"/>
            <w:gridSpan w:val="2"/>
          </w:tcPr>
          <w:p>
            <w:pPr>
              <w:spacing w:line="360" w:lineRule="auto"/>
              <w:ind w:right="84"/>
              <w:rPr>
                <w:position w:val="-36"/>
                <w:sz w:val="24"/>
              </w:rPr>
            </w:pPr>
          </w:p>
        </w:tc>
        <w:tc>
          <w:tcPr>
            <w:tcW w:w="4172" w:type="dxa"/>
            <w:gridSpan w:val="5"/>
          </w:tcPr>
          <w:p>
            <w:pPr>
              <w:spacing w:line="360" w:lineRule="auto"/>
              <w:ind w:right="84"/>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曾担任负责人的项目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委托单位</w:t>
            </w:r>
          </w:p>
        </w:tc>
        <w:tc>
          <w:tcPr>
            <w:tcW w:w="2389" w:type="dxa"/>
            <w:gridSpan w:val="4"/>
          </w:tcPr>
          <w:p>
            <w:pPr>
              <w:spacing w:line="360" w:lineRule="auto"/>
              <w:ind w:right="84"/>
              <w:jc w:val="center"/>
              <w:rPr>
                <w:position w:val="-36"/>
                <w:sz w:val="24"/>
              </w:rPr>
            </w:pPr>
            <w:r>
              <w:rPr>
                <w:position w:val="-36"/>
                <w:sz w:val="24"/>
              </w:rPr>
              <w:t>项目名称</w:t>
            </w:r>
          </w:p>
        </w:tc>
        <w:tc>
          <w:tcPr>
            <w:tcW w:w="1351" w:type="dxa"/>
          </w:tcPr>
          <w:p>
            <w:pPr>
              <w:spacing w:line="360" w:lineRule="auto"/>
              <w:ind w:right="84"/>
              <w:jc w:val="center"/>
              <w:rPr>
                <w:position w:val="-36"/>
                <w:sz w:val="24"/>
              </w:rPr>
            </w:pPr>
            <w:r>
              <w:rPr>
                <w:position w:val="-36"/>
                <w:sz w:val="24"/>
              </w:rPr>
              <w:t>项目规模</w:t>
            </w:r>
          </w:p>
        </w:tc>
        <w:tc>
          <w:tcPr>
            <w:tcW w:w="1349" w:type="dxa"/>
            <w:gridSpan w:val="2"/>
          </w:tcPr>
          <w:p>
            <w:pPr>
              <w:spacing w:line="360" w:lineRule="auto"/>
              <w:ind w:right="84"/>
              <w:jc w:val="center"/>
              <w:rPr>
                <w:position w:val="-36"/>
                <w:sz w:val="24"/>
              </w:rPr>
            </w:pPr>
            <w:r>
              <w:rPr>
                <w:position w:val="-36"/>
                <w:sz w:val="24"/>
              </w:rPr>
              <w:t>项目类型</w:t>
            </w:r>
          </w:p>
        </w:tc>
        <w:tc>
          <w:tcPr>
            <w:tcW w:w="1472" w:type="dxa"/>
            <w:gridSpan w:val="2"/>
          </w:tcPr>
          <w:p>
            <w:pPr>
              <w:spacing w:line="360" w:lineRule="auto"/>
              <w:ind w:right="84"/>
              <w:jc w:val="center"/>
              <w:rPr>
                <w:position w:val="-36"/>
                <w:sz w:val="24"/>
              </w:rPr>
            </w:pPr>
            <w:r>
              <w:rPr>
                <w:position w:val="-3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Borders>
              <w:bottom w:val="single" w:color="auto" w:sz="4" w:space="0"/>
            </w:tcBorders>
          </w:tcPr>
          <w:p>
            <w:pPr>
              <w:spacing w:line="360" w:lineRule="auto"/>
              <w:ind w:right="84"/>
              <w:rPr>
                <w:position w:val="-36"/>
                <w:sz w:val="24"/>
              </w:rPr>
            </w:pPr>
          </w:p>
        </w:tc>
        <w:tc>
          <w:tcPr>
            <w:tcW w:w="2389" w:type="dxa"/>
            <w:gridSpan w:val="4"/>
            <w:tcBorders>
              <w:bottom w:val="single" w:color="auto" w:sz="4" w:space="0"/>
            </w:tcBorders>
          </w:tcPr>
          <w:p>
            <w:pPr>
              <w:spacing w:line="360" w:lineRule="auto"/>
              <w:ind w:right="84"/>
              <w:rPr>
                <w:position w:val="-36"/>
                <w:sz w:val="24"/>
              </w:rPr>
            </w:pPr>
          </w:p>
        </w:tc>
        <w:tc>
          <w:tcPr>
            <w:tcW w:w="1351" w:type="dxa"/>
            <w:tcBorders>
              <w:bottom w:val="single" w:color="auto" w:sz="4" w:space="0"/>
            </w:tcBorders>
          </w:tcPr>
          <w:p>
            <w:pPr>
              <w:spacing w:line="360" w:lineRule="auto"/>
              <w:ind w:right="84"/>
              <w:rPr>
                <w:position w:val="-36"/>
                <w:sz w:val="24"/>
              </w:rPr>
            </w:pPr>
          </w:p>
        </w:tc>
        <w:tc>
          <w:tcPr>
            <w:tcW w:w="1349" w:type="dxa"/>
            <w:gridSpan w:val="2"/>
            <w:tcBorders>
              <w:bottom w:val="single" w:color="auto" w:sz="4" w:space="0"/>
            </w:tcBorders>
          </w:tcPr>
          <w:p>
            <w:pPr>
              <w:spacing w:line="360" w:lineRule="auto"/>
              <w:ind w:right="84"/>
              <w:rPr>
                <w:position w:val="-36"/>
                <w:sz w:val="24"/>
              </w:rPr>
            </w:pPr>
          </w:p>
        </w:tc>
        <w:tc>
          <w:tcPr>
            <w:tcW w:w="1472" w:type="dxa"/>
            <w:gridSpan w:val="2"/>
            <w:tcBorders>
              <w:bottom w:val="single" w:color="auto" w:sz="4" w:space="0"/>
            </w:tcBorders>
          </w:tcPr>
          <w:p>
            <w:pPr>
              <w:spacing w:line="360" w:lineRule="auto"/>
              <w:ind w:right="84"/>
              <w:rPr>
                <w:position w:val="-36"/>
                <w:sz w:val="24"/>
              </w:rPr>
            </w:pPr>
          </w:p>
        </w:tc>
      </w:tr>
    </w:tbl>
    <w:p>
      <w:pPr>
        <w:spacing w:line="460" w:lineRule="exact"/>
        <w:ind w:left="192"/>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tabs>
          <w:tab w:val="left" w:pos="240"/>
          <w:tab w:val="left" w:pos="7665"/>
        </w:tabs>
        <w:rPr>
          <w:b/>
          <w:sz w:val="24"/>
          <w:szCs w:val="24"/>
        </w:rPr>
      </w:pP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附件7-2</w:t>
      </w:r>
    </w:p>
    <w:p>
      <w:pPr>
        <w:spacing w:line="360" w:lineRule="auto"/>
        <w:ind w:right="84"/>
        <w:jc w:val="center"/>
        <w:rPr>
          <w:b/>
          <w:sz w:val="24"/>
          <w:szCs w:val="24"/>
        </w:rPr>
      </w:pPr>
      <w:r>
        <w:rPr>
          <w:b/>
          <w:position w:val="-40"/>
          <w:sz w:val="24"/>
          <w:szCs w:val="24"/>
        </w:rPr>
        <w:t>拟在本项目使用的主要设备一览表</w:t>
      </w:r>
    </w:p>
    <w:tbl>
      <w:tblPr>
        <w:tblStyle w:val="16"/>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ind w:right="84"/>
              <w:jc w:val="center"/>
              <w:rPr>
                <w:position w:val="-32"/>
                <w:sz w:val="24"/>
              </w:rPr>
            </w:pPr>
            <w:r>
              <w:rPr>
                <w:position w:val="-32"/>
                <w:sz w:val="24"/>
              </w:rPr>
              <w:t>序 号</w:t>
            </w:r>
          </w:p>
        </w:tc>
        <w:tc>
          <w:tcPr>
            <w:tcW w:w="2520" w:type="dxa"/>
            <w:vAlign w:val="center"/>
          </w:tcPr>
          <w:p>
            <w:pPr>
              <w:spacing w:line="360" w:lineRule="auto"/>
              <w:ind w:right="84"/>
              <w:jc w:val="center"/>
              <w:rPr>
                <w:position w:val="-32"/>
                <w:sz w:val="24"/>
              </w:rPr>
            </w:pPr>
            <w:r>
              <w:rPr>
                <w:position w:val="-32"/>
                <w:sz w:val="24"/>
              </w:rPr>
              <w:t>主要设备名称</w:t>
            </w:r>
          </w:p>
        </w:tc>
        <w:tc>
          <w:tcPr>
            <w:tcW w:w="1441" w:type="dxa"/>
            <w:vAlign w:val="center"/>
          </w:tcPr>
          <w:p>
            <w:pPr>
              <w:spacing w:line="360" w:lineRule="auto"/>
              <w:ind w:right="84"/>
              <w:jc w:val="center"/>
              <w:rPr>
                <w:position w:val="-32"/>
                <w:sz w:val="24"/>
              </w:rPr>
            </w:pPr>
            <w:r>
              <w:rPr>
                <w:position w:val="-32"/>
                <w:sz w:val="24"/>
              </w:rPr>
              <w:t>规格型号</w:t>
            </w:r>
          </w:p>
        </w:tc>
        <w:tc>
          <w:tcPr>
            <w:tcW w:w="1439" w:type="dxa"/>
            <w:vAlign w:val="center"/>
          </w:tcPr>
          <w:p>
            <w:pPr>
              <w:spacing w:line="360" w:lineRule="auto"/>
              <w:ind w:right="84"/>
              <w:jc w:val="center"/>
              <w:rPr>
                <w:position w:val="-32"/>
                <w:sz w:val="24"/>
              </w:rPr>
            </w:pPr>
            <w:r>
              <w:rPr>
                <w:position w:val="-32"/>
                <w:sz w:val="24"/>
              </w:rPr>
              <w:t>购入时间</w:t>
            </w:r>
          </w:p>
        </w:tc>
        <w:tc>
          <w:tcPr>
            <w:tcW w:w="900" w:type="dxa"/>
            <w:vAlign w:val="center"/>
          </w:tcPr>
          <w:p>
            <w:pPr>
              <w:spacing w:line="360" w:lineRule="auto"/>
              <w:ind w:right="84"/>
              <w:jc w:val="center"/>
              <w:rPr>
                <w:position w:val="-32"/>
                <w:sz w:val="24"/>
              </w:rPr>
            </w:pPr>
            <w:r>
              <w:rPr>
                <w:position w:val="-32"/>
                <w:sz w:val="24"/>
              </w:rPr>
              <w:t>数 量</w:t>
            </w:r>
          </w:p>
        </w:tc>
        <w:tc>
          <w:tcPr>
            <w:tcW w:w="1404" w:type="dxa"/>
            <w:vAlign w:val="center"/>
          </w:tcPr>
          <w:p>
            <w:pPr>
              <w:spacing w:line="360" w:lineRule="auto"/>
              <w:ind w:right="84"/>
              <w:jc w:val="center"/>
              <w:rPr>
                <w:position w:val="-32"/>
                <w:sz w:val="24"/>
              </w:rPr>
            </w:pPr>
            <w:r>
              <w:rPr>
                <w:position w:val="-3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bl>
    <w:p>
      <w:pPr>
        <w:spacing w:line="360" w:lineRule="auto"/>
        <w:ind w:firstLine="4080" w:firstLineChars="1700"/>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360" w:lineRule="auto"/>
        <w:ind w:left="192" w:right="84"/>
        <w:rPr>
          <w:sz w:val="24"/>
        </w:rPr>
      </w:pPr>
    </w:p>
    <w:p>
      <w:pPr>
        <w:tabs>
          <w:tab w:val="left" w:pos="240"/>
          <w:tab w:val="left" w:pos="7665"/>
        </w:tabs>
        <w:rPr>
          <w:b/>
          <w:sz w:val="24"/>
          <w:szCs w:val="24"/>
        </w:rPr>
      </w:pP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附件7-3</w:t>
      </w:r>
    </w:p>
    <w:p>
      <w:pPr>
        <w:tabs>
          <w:tab w:val="left" w:pos="240"/>
        </w:tabs>
        <w:jc w:val="center"/>
        <w:rPr>
          <w:b/>
          <w:sz w:val="24"/>
          <w:szCs w:val="24"/>
        </w:rPr>
      </w:pPr>
      <w:r>
        <w:rPr>
          <w:b/>
          <w:sz w:val="24"/>
          <w:szCs w:val="24"/>
        </w:rPr>
        <w:t>采购人须向供应商提供的条件</w:t>
      </w:r>
    </w:p>
    <w:p>
      <w:pPr>
        <w:tabs>
          <w:tab w:val="left" w:pos="240"/>
        </w:tabs>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pPr>
              <w:tabs>
                <w:tab w:val="left" w:pos="240"/>
              </w:tabs>
              <w:jc w:val="center"/>
              <w:rPr>
                <w:position w:val="-50"/>
                <w:sz w:val="24"/>
              </w:rPr>
            </w:pPr>
            <w:r>
              <w:rPr>
                <w:position w:val="-50"/>
                <w:sz w:val="24"/>
              </w:rPr>
              <w:t>序 号</w:t>
            </w:r>
          </w:p>
        </w:tc>
        <w:tc>
          <w:tcPr>
            <w:tcW w:w="1890" w:type="dxa"/>
            <w:tcBorders>
              <w:bottom w:val="single" w:color="auto" w:sz="4" w:space="0"/>
            </w:tcBorders>
          </w:tcPr>
          <w:p>
            <w:pPr>
              <w:tabs>
                <w:tab w:val="left" w:pos="240"/>
              </w:tabs>
              <w:jc w:val="center"/>
              <w:rPr>
                <w:position w:val="-32"/>
                <w:sz w:val="24"/>
              </w:rPr>
            </w:pPr>
            <w:r>
              <w:rPr>
                <w:position w:val="-32"/>
                <w:sz w:val="24"/>
              </w:rPr>
              <w:t>设施或设备</w:t>
            </w:r>
          </w:p>
          <w:p>
            <w:pPr>
              <w:tabs>
                <w:tab w:val="left" w:pos="240"/>
              </w:tabs>
              <w:jc w:val="center"/>
              <w:rPr>
                <w:sz w:val="24"/>
              </w:rPr>
            </w:pPr>
            <w:r>
              <w:rPr>
                <w:position w:val="-32"/>
                <w:sz w:val="24"/>
              </w:rPr>
              <w:t>名  称</w:t>
            </w:r>
          </w:p>
        </w:tc>
        <w:tc>
          <w:tcPr>
            <w:tcW w:w="975" w:type="dxa"/>
            <w:tcBorders>
              <w:bottom w:val="single" w:color="auto" w:sz="4" w:space="0"/>
            </w:tcBorders>
          </w:tcPr>
          <w:p>
            <w:pPr>
              <w:tabs>
                <w:tab w:val="left" w:pos="240"/>
              </w:tabs>
              <w:jc w:val="center"/>
              <w:rPr>
                <w:position w:val="-50"/>
                <w:sz w:val="24"/>
              </w:rPr>
            </w:pPr>
            <w:r>
              <w:rPr>
                <w:position w:val="-50"/>
                <w:sz w:val="24"/>
              </w:rPr>
              <w:t>单 位</w:t>
            </w:r>
          </w:p>
        </w:tc>
        <w:tc>
          <w:tcPr>
            <w:tcW w:w="996" w:type="dxa"/>
            <w:tcBorders>
              <w:bottom w:val="single" w:color="auto" w:sz="4" w:space="0"/>
            </w:tcBorders>
          </w:tcPr>
          <w:p>
            <w:pPr>
              <w:tabs>
                <w:tab w:val="left" w:pos="240"/>
              </w:tabs>
              <w:jc w:val="center"/>
              <w:rPr>
                <w:position w:val="-50"/>
                <w:sz w:val="24"/>
              </w:rPr>
            </w:pPr>
            <w:r>
              <w:rPr>
                <w:position w:val="-50"/>
                <w:sz w:val="24"/>
              </w:rPr>
              <w:t>数 量</w:t>
            </w:r>
          </w:p>
        </w:tc>
        <w:tc>
          <w:tcPr>
            <w:tcW w:w="1494" w:type="dxa"/>
            <w:tcBorders>
              <w:bottom w:val="single" w:color="auto" w:sz="4" w:space="0"/>
            </w:tcBorders>
          </w:tcPr>
          <w:p>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pPr>
              <w:tabs>
                <w:tab w:val="left" w:pos="240"/>
              </w:tabs>
              <w:jc w:val="center"/>
              <w:rPr>
                <w:position w:val="-50"/>
                <w:sz w:val="24"/>
              </w:rPr>
            </w:pPr>
            <w:r>
              <w:rPr>
                <w:position w:val="-50"/>
                <w:sz w:val="24"/>
              </w:rPr>
              <w:t xml:space="preserve">如有偿提供的说明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tc>
        <w:tc>
          <w:tcPr>
            <w:tcW w:w="1890" w:type="dxa"/>
          </w:tcPr>
          <w:p>
            <w:pPr>
              <w:tabs>
                <w:tab w:val="left" w:pos="240"/>
              </w:tabs>
            </w:pPr>
          </w:p>
        </w:tc>
        <w:tc>
          <w:tcPr>
            <w:tcW w:w="975" w:type="dxa"/>
          </w:tcPr>
          <w:p>
            <w:pPr>
              <w:tabs>
                <w:tab w:val="left" w:pos="240"/>
              </w:tabs>
            </w:pPr>
          </w:p>
        </w:tc>
        <w:tc>
          <w:tcPr>
            <w:tcW w:w="996" w:type="dxa"/>
          </w:tcPr>
          <w:p>
            <w:pPr>
              <w:tabs>
                <w:tab w:val="left" w:pos="240"/>
              </w:tabs>
            </w:pPr>
          </w:p>
        </w:tc>
        <w:tc>
          <w:tcPr>
            <w:tcW w:w="1494" w:type="dxa"/>
          </w:tcPr>
          <w:p>
            <w:pPr>
              <w:tabs>
                <w:tab w:val="left" w:pos="240"/>
              </w:tabs>
            </w:pPr>
          </w:p>
        </w:tc>
        <w:tc>
          <w:tcPr>
            <w:tcW w:w="2409" w:type="dxa"/>
          </w:tcPr>
          <w:p>
            <w:pPr>
              <w:tabs>
                <w:tab w:val="left" w:pos="2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pPr>
              <w:pStyle w:val="13"/>
            </w:pPr>
            <w:r>
              <w:t>备注：凡需采购人提供的设备、房屋、通讯及其他办公设施，应注明免费提供或不免费提供，如有偿提供，采购人承担多少，供应商承担多少，本表应详细列清。</w:t>
            </w:r>
          </w:p>
          <w:p>
            <w:pPr>
              <w:tabs>
                <w:tab w:val="left" w:pos="240"/>
              </w:tabs>
            </w:pPr>
          </w:p>
        </w:tc>
      </w:tr>
    </w:tbl>
    <w:p>
      <w:pPr>
        <w:tabs>
          <w:tab w:val="left" w:pos="240"/>
          <w:tab w:val="left" w:pos="7665"/>
        </w:tabs>
      </w:pP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360" w:lineRule="auto"/>
        <w:ind w:left="192" w:right="84"/>
        <w:rPr>
          <w:position w:val="-40"/>
        </w:rPr>
      </w:pPr>
      <w:r>
        <w:rPr>
          <w:sz w:val="24"/>
        </w:rPr>
        <w:t xml:space="preserve">  </w:t>
      </w:r>
    </w:p>
    <w:p>
      <w:pPr>
        <w:spacing w:line="480" w:lineRule="auto"/>
        <w:rPr>
          <w:b/>
          <w:sz w:val="24"/>
        </w:rPr>
      </w:pPr>
    </w:p>
    <w:p>
      <w:pPr>
        <w:spacing w:line="480" w:lineRule="auto"/>
        <w:rPr>
          <w:b/>
          <w:sz w:val="24"/>
        </w:rPr>
      </w:pPr>
    </w:p>
    <w:p>
      <w:pPr>
        <w:widowControl/>
        <w:jc w:val="left"/>
        <w:rPr>
          <w:b/>
          <w:sz w:val="24"/>
        </w:rPr>
      </w:pPr>
      <w:r>
        <w:rPr>
          <w:b/>
          <w:sz w:val="24"/>
        </w:rPr>
        <w:br w:type="page"/>
      </w:r>
    </w:p>
    <w:p>
      <w:pPr>
        <w:spacing w:line="620" w:lineRule="exact"/>
        <w:rPr>
          <w:b/>
          <w:sz w:val="24"/>
        </w:rPr>
      </w:pPr>
      <w:r>
        <w:rPr>
          <w:b/>
          <w:sz w:val="24"/>
        </w:rPr>
        <w:t>附件8</w:t>
      </w:r>
      <w:r>
        <w:rPr>
          <w:rFonts w:hint="eastAsia"/>
          <w:b/>
          <w:sz w:val="24"/>
        </w:rPr>
        <w:t>-1</w:t>
      </w:r>
    </w:p>
    <w:p>
      <w:pPr>
        <w:autoSpaceDN w:val="0"/>
        <w:spacing w:line="360" w:lineRule="auto"/>
        <w:jc w:val="center"/>
        <w:rPr>
          <w:b/>
          <w:bCs/>
          <w:sz w:val="24"/>
          <w:szCs w:val="24"/>
        </w:rPr>
      </w:pPr>
    </w:p>
    <w:p>
      <w:pPr>
        <w:autoSpaceDE w:val="0"/>
        <w:autoSpaceDN w:val="0"/>
        <w:spacing w:line="480" w:lineRule="auto"/>
        <w:jc w:val="center"/>
        <w:rPr>
          <w:sz w:val="24"/>
          <w:szCs w:val="24"/>
        </w:rPr>
      </w:pPr>
      <w:r>
        <w:rPr>
          <w:b/>
          <w:sz w:val="24"/>
          <w:szCs w:val="24"/>
        </w:rPr>
        <w:t>中小企业声明函（服务）</w:t>
      </w:r>
    </w:p>
    <w:p>
      <w:pPr>
        <w:widowControl/>
        <w:spacing w:line="500" w:lineRule="exact"/>
        <w:ind w:firstLine="480"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80" w:firstLineChars="200"/>
        <w:jc w:val="left"/>
        <w:rPr>
          <w:sz w:val="24"/>
          <w:szCs w:val="24"/>
        </w:rPr>
      </w:pPr>
      <w:r>
        <w:rPr>
          <w:sz w:val="24"/>
          <w:szCs w:val="24"/>
        </w:rPr>
        <w:t>1.</w:t>
      </w:r>
      <w:r>
        <w:rPr>
          <w:sz w:val="24"/>
          <w:szCs w:val="24"/>
          <w:u w:val="single"/>
        </w:rPr>
        <w:t xml:space="preserve">  </w:t>
      </w:r>
      <w:r>
        <w:rPr>
          <w:rFonts w:hint="eastAsia"/>
          <w:sz w:val="24"/>
          <w:szCs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firstLine="480"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left="641"/>
        <w:jc w:val="left"/>
        <w:rPr>
          <w:sz w:val="24"/>
          <w:szCs w:val="24"/>
        </w:rPr>
      </w:pPr>
      <w:r>
        <w:rPr>
          <w:sz w:val="24"/>
          <w:szCs w:val="24"/>
        </w:rPr>
        <w:t>……</w:t>
      </w:r>
    </w:p>
    <w:p>
      <w:pPr>
        <w:autoSpaceDE w:val="0"/>
        <w:autoSpaceDN w:val="0"/>
        <w:spacing w:line="500" w:lineRule="exact"/>
        <w:ind w:firstLine="480" w:firstLineChars="200"/>
        <w:jc w:val="left"/>
        <w:rPr>
          <w:sz w:val="24"/>
          <w:szCs w:val="24"/>
        </w:rPr>
      </w:pPr>
      <w:r>
        <w:rPr>
          <w:sz w:val="24"/>
          <w:szCs w:val="24"/>
        </w:rPr>
        <w:t>以上企业，不属于大型企业的分支机构，不存在控股股东为大型企业的情形，也不存在与大型企业的负责人为同一人的情形。</w:t>
      </w:r>
    </w:p>
    <w:p>
      <w:pPr>
        <w:autoSpaceDE w:val="0"/>
        <w:autoSpaceDN w:val="0"/>
        <w:spacing w:line="500" w:lineRule="exact"/>
        <w:ind w:firstLine="480" w:firstLineChars="200"/>
        <w:jc w:val="left"/>
        <w:rPr>
          <w:sz w:val="24"/>
          <w:szCs w:val="24"/>
        </w:rPr>
      </w:pPr>
      <w:r>
        <w:rPr>
          <w:sz w:val="24"/>
          <w:szCs w:val="24"/>
        </w:rPr>
        <w:t>本企业对上述声明内容的真实性负责。如有虚假，将依法承担相应责任。</w:t>
      </w: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32"/>
        </w:rPr>
      </w:pPr>
      <w:r>
        <w:rPr>
          <w:sz w:val="24"/>
          <w:szCs w:val="24"/>
        </w:rPr>
        <w:t>日期：</w:t>
      </w:r>
    </w:p>
    <w:p>
      <w:pPr>
        <w:spacing w:line="360" w:lineRule="auto"/>
        <w:ind w:right="84" w:firstLine="241" w:firstLineChars="100"/>
        <w:rPr>
          <w:b/>
          <w:sz w:val="24"/>
          <w:szCs w:val="24"/>
        </w:rPr>
      </w:pPr>
      <w:r>
        <w:rPr>
          <w:b/>
          <w:sz w:val="24"/>
          <w:szCs w:val="24"/>
        </w:rPr>
        <w:t>注：</w:t>
      </w:r>
    </w:p>
    <w:p>
      <w:pPr>
        <w:spacing w:line="360" w:lineRule="auto"/>
        <w:ind w:right="84" w:firstLine="241"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pPr>
        <w:spacing w:line="360" w:lineRule="auto"/>
        <w:ind w:right="84" w:firstLine="241"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pPr>
        <w:spacing w:line="360" w:lineRule="auto"/>
        <w:ind w:right="84" w:firstLine="241" w:firstLineChars="100"/>
        <w:rPr>
          <w:b/>
          <w:sz w:val="24"/>
          <w:szCs w:val="24"/>
        </w:rPr>
      </w:pPr>
      <w:r>
        <w:rPr>
          <w:b/>
          <w:sz w:val="24"/>
          <w:szCs w:val="24"/>
        </w:rPr>
        <w:t>3.中标（成交）供应商享受中小企业扶持政策的，将随中标（成交）结果同时公告其《中小企业声明函》，接受社会监督。</w:t>
      </w:r>
    </w:p>
    <w:p>
      <w:pPr>
        <w:widowControl/>
        <w:jc w:val="left"/>
        <w:rPr>
          <w:sz w:val="24"/>
        </w:rPr>
      </w:pPr>
      <w:r>
        <w:rPr>
          <w:sz w:val="24"/>
        </w:rPr>
        <w:br w:type="page"/>
      </w:r>
    </w:p>
    <w:p>
      <w:pPr>
        <w:autoSpaceDN w:val="0"/>
        <w:spacing w:line="360" w:lineRule="auto"/>
        <w:rPr>
          <w:b/>
          <w:bCs/>
          <w:sz w:val="24"/>
        </w:rPr>
      </w:pPr>
      <w:r>
        <w:rPr>
          <w:rFonts w:hint="eastAsia"/>
          <w:b/>
          <w:bCs/>
          <w:sz w:val="24"/>
        </w:rPr>
        <w:t>附件8-2</w:t>
      </w:r>
    </w:p>
    <w:p>
      <w:pPr>
        <w:autoSpaceDN w:val="0"/>
        <w:spacing w:line="360" w:lineRule="auto"/>
        <w:jc w:val="left"/>
        <w:rPr>
          <w:b/>
          <w:bCs/>
          <w:sz w:val="24"/>
        </w:rPr>
      </w:pPr>
      <w:r>
        <w:rPr>
          <w:rFonts w:hint="eastAsia"/>
          <w:b/>
          <w:kern w:val="0"/>
          <w:sz w:val="24"/>
          <w:szCs w:val="21"/>
        </w:rPr>
        <w:t>若不是残疾人福利性单位，响应文件中可不提供此声明函</w:t>
      </w:r>
    </w:p>
    <w:p>
      <w:pPr>
        <w:autoSpaceDN w:val="0"/>
        <w:spacing w:line="360" w:lineRule="auto"/>
        <w:jc w:val="center"/>
        <w:rPr>
          <w:b/>
          <w:bCs/>
          <w:sz w:val="24"/>
        </w:rPr>
      </w:pPr>
    </w:p>
    <w:p>
      <w:pPr>
        <w:snapToGrid w:val="0"/>
        <w:spacing w:line="360" w:lineRule="auto"/>
        <w:jc w:val="center"/>
        <w:rPr>
          <w:b/>
          <w:bCs/>
          <w:sz w:val="24"/>
        </w:rPr>
      </w:pPr>
      <w:r>
        <w:rPr>
          <w:rFonts w:hint="eastAsia"/>
          <w:b/>
          <w:bCs/>
          <w:sz w:val="24"/>
        </w:rPr>
        <w:t>残疾人福利性单位声明函</w:t>
      </w:r>
    </w:p>
    <w:p>
      <w:pPr>
        <w:snapToGrid w:val="0"/>
        <w:spacing w:line="360" w:lineRule="auto"/>
        <w:ind w:firstLine="482" w:firstLineChars="200"/>
        <w:jc w:val="left"/>
        <w:rPr>
          <w:b/>
          <w:bCs/>
          <w:sz w:val="24"/>
        </w:rPr>
      </w:pPr>
    </w:p>
    <w:p>
      <w:pPr>
        <w:snapToGrid w:val="0"/>
        <w:spacing w:line="360" w:lineRule="auto"/>
        <w:ind w:firstLine="480"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jc w:val="left"/>
        <w:rPr>
          <w:bCs/>
          <w:sz w:val="24"/>
        </w:rPr>
      </w:pPr>
      <w:r>
        <w:rPr>
          <w:rFonts w:hint="eastAsia"/>
          <w:bCs/>
          <w:sz w:val="24"/>
        </w:rPr>
        <w:t>本单位对上述声明的真实性负责。如有虚假，将依法承担相应责任。</w:t>
      </w:r>
    </w:p>
    <w:p>
      <w:pPr>
        <w:snapToGrid w:val="0"/>
        <w:spacing w:line="360" w:lineRule="auto"/>
        <w:ind w:firstLine="480" w:firstLineChars="200"/>
        <w:jc w:val="left"/>
        <w:rPr>
          <w:bCs/>
          <w:sz w:val="24"/>
        </w:rPr>
      </w:pPr>
    </w:p>
    <w:p>
      <w:pPr>
        <w:snapToGrid w:val="0"/>
        <w:spacing w:line="360" w:lineRule="auto"/>
        <w:ind w:firstLine="480" w:firstLineChars="200"/>
        <w:jc w:val="left"/>
        <w:rPr>
          <w:bCs/>
          <w:sz w:val="24"/>
        </w:rPr>
      </w:pPr>
    </w:p>
    <w:p>
      <w:pPr>
        <w:snapToGrid w:val="0"/>
        <w:spacing w:line="360" w:lineRule="auto"/>
        <w:ind w:firstLine="480" w:firstLineChars="200"/>
        <w:jc w:val="left"/>
        <w:rPr>
          <w:bCs/>
          <w:sz w:val="24"/>
        </w:rPr>
      </w:pPr>
      <w:r>
        <w:rPr>
          <w:rFonts w:hint="eastAsia"/>
          <w:bCs/>
          <w:sz w:val="24"/>
        </w:rPr>
        <w:t xml:space="preserve">               </w:t>
      </w:r>
      <w:r>
        <w:rPr>
          <w:sz w:val="24"/>
          <w:szCs w:val="24"/>
        </w:rPr>
        <w:t>投标人名称：</w:t>
      </w:r>
    </w:p>
    <w:p>
      <w:pPr>
        <w:snapToGrid w:val="0"/>
        <w:spacing w:line="360" w:lineRule="auto"/>
        <w:ind w:firstLine="480" w:firstLineChars="200"/>
        <w:jc w:val="left"/>
        <w:rPr>
          <w:bCs/>
          <w:sz w:val="24"/>
        </w:rPr>
      </w:pPr>
    </w:p>
    <w:p>
      <w:pPr>
        <w:snapToGrid w:val="0"/>
        <w:spacing w:line="360" w:lineRule="auto"/>
        <w:ind w:firstLine="480" w:firstLineChars="200"/>
        <w:jc w:val="left"/>
        <w:rPr>
          <w:sz w:val="24"/>
          <w:szCs w:val="21"/>
        </w:rPr>
      </w:pPr>
      <w:r>
        <w:rPr>
          <w:rFonts w:hint="eastAsia"/>
          <w:bCs/>
          <w:sz w:val="24"/>
        </w:rPr>
        <w:t xml:space="preserve">               日  期：</w:t>
      </w:r>
    </w:p>
    <w:p>
      <w:pPr>
        <w:snapToGrid w:val="0"/>
        <w:spacing w:line="360" w:lineRule="auto"/>
        <w:ind w:firstLine="480" w:firstLineChars="200"/>
        <w:jc w:val="left"/>
        <w:rPr>
          <w:sz w:val="24"/>
          <w:szCs w:val="21"/>
        </w:rPr>
      </w:pPr>
    </w:p>
    <w:p>
      <w:pPr>
        <w:snapToGrid w:val="0"/>
        <w:spacing w:line="360" w:lineRule="auto"/>
        <w:ind w:firstLine="480" w:firstLineChars="200"/>
        <w:rPr>
          <w:sz w:val="24"/>
          <w:szCs w:val="21"/>
        </w:rPr>
      </w:pPr>
      <w:r>
        <w:rPr>
          <w:sz w:val="24"/>
          <w:szCs w:val="21"/>
        </w:rPr>
        <w:t>注：</w:t>
      </w:r>
    </w:p>
    <w:p>
      <w:pPr>
        <w:snapToGrid w:val="0"/>
        <w:spacing w:line="360" w:lineRule="auto"/>
        <w:ind w:firstLine="482" w:firstLineChars="200"/>
        <w:rPr>
          <w:b/>
          <w:sz w:val="24"/>
          <w:szCs w:val="21"/>
        </w:rPr>
      </w:pPr>
      <w:r>
        <w:rPr>
          <w:b/>
          <w:sz w:val="24"/>
          <w:szCs w:val="21"/>
        </w:rPr>
        <w:t>中标（成交）供应商为残疾人福利性单位的，将随中标（成交）结果同时公告其《残疾人福利性单位声明函》，接受社会监督。</w:t>
      </w:r>
    </w:p>
    <w:p>
      <w:pPr>
        <w:snapToGrid w:val="0"/>
        <w:spacing w:line="360" w:lineRule="auto"/>
        <w:ind w:firstLine="482" w:firstLineChars="200"/>
        <w:rPr>
          <w:b/>
          <w:sz w:val="24"/>
          <w:szCs w:val="21"/>
        </w:rPr>
      </w:pPr>
      <w:r>
        <w:rPr>
          <w:b/>
          <w:kern w:val="0"/>
          <w:sz w:val="24"/>
          <w:szCs w:val="21"/>
        </w:rPr>
        <w:t>若不是残疾人福利性单位，响应文件中可不提供此声明函。</w:t>
      </w:r>
    </w:p>
    <w:p>
      <w:pPr>
        <w:spacing w:line="360" w:lineRule="auto"/>
        <w:ind w:firstLine="4080" w:firstLineChars="1700"/>
        <w:rPr>
          <w:sz w:val="24"/>
        </w:rPr>
      </w:pPr>
    </w:p>
    <w:p>
      <w:pPr>
        <w:jc w:val="left"/>
        <w:rPr>
          <w:sz w:val="24"/>
        </w:rPr>
      </w:pPr>
      <w:r>
        <w:rPr>
          <w:sz w:val="24"/>
        </w:rPr>
        <w:br w:type="page"/>
      </w:r>
    </w:p>
    <w:p>
      <w:pPr>
        <w:jc w:val="left"/>
        <w:rPr>
          <w:b/>
          <w:bCs/>
          <w:sz w:val="24"/>
        </w:rPr>
      </w:pPr>
      <w:r>
        <w:rPr>
          <w:b/>
          <w:sz w:val="24"/>
          <w:szCs w:val="24"/>
        </w:rPr>
        <w:t>附件9</w:t>
      </w:r>
    </w:p>
    <w:p>
      <w:pPr>
        <w:jc w:val="left"/>
        <w:rPr>
          <w:b/>
          <w:bCs/>
          <w:sz w:val="24"/>
        </w:rPr>
      </w:pPr>
    </w:p>
    <w:p>
      <w:pPr>
        <w:tabs>
          <w:tab w:val="left" w:pos="360"/>
        </w:tabs>
        <w:spacing w:line="360" w:lineRule="auto"/>
        <w:jc w:val="center"/>
        <w:rPr>
          <w:b/>
          <w:bCs/>
          <w:sz w:val="24"/>
        </w:rPr>
      </w:pPr>
      <w:r>
        <w:rPr>
          <w:rFonts w:hint="eastAsia"/>
          <w:b/>
          <w:bCs/>
          <w:sz w:val="24"/>
        </w:rPr>
        <w:t>书面</w:t>
      </w:r>
      <w:r>
        <w:rPr>
          <w:b/>
          <w:bCs/>
          <w:sz w:val="24"/>
        </w:rPr>
        <w:t>声明</w:t>
      </w:r>
    </w:p>
    <w:p>
      <w:pPr>
        <w:pStyle w:val="36"/>
        <w:tabs>
          <w:tab w:val="left" w:pos="360"/>
        </w:tabs>
        <w:spacing w:line="360" w:lineRule="auto"/>
        <w:ind w:firstLine="480"/>
        <w:rPr>
          <w:sz w:val="24"/>
          <w:lang w:eastAsia="zh-CN"/>
        </w:rPr>
      </w:pPr>
    </w:p>
    <w:p>
      <w:pPr>
        <w:pStyle w:val="36"/>
        <w:tabs>
          <w:tab w:val="left" w:pos="360"/>
        </w:tabs>
        <w:spacing w:line="360" w:lineRule="auto"/>
        <w:ind w:firstLine="480"/>
        <w:rPr>
          <w:sz w:val="24"/>
          <w:lang w:eastAsia="zh-CN"/>
        </w:rPr>
      </w:pPr>
      <w:r>
        <w:rPr>
          <w:rFonts w:hint="eastAsia"/>
          <w:sz w:val="24"/>
        </w:rPr>
        <w:t>参加政府采购活动前</w:t>
      </w:r>
      <w:r>
        <w:rPr>
          <w:sz w:val="24"/>
        </w:rPr>
        <w:t>3</w:t>
      </w:r>
      <w:r>
        <w:rPr>
          <w:rFonts w:hint="eastAsia"/>
          <w:sz w:val="24"/>
        </w:rPr>
        <w:t>年</w:t>
      </w:r>
      <w:r>
        <w:rPr>
          <w:rFonts w:hint="eastAsia"/>
          <w:sz w:val="24"/>
          <w:lang w:val="en-US" w:eastAsia="zh-CN"/>
        </w:rPr>
        <w:t>我单位</w:t>
      </w:r>
      <w:r>
        <w:rPr>
          <w:rFonts w:hint="eastAsia"/>
          <w:sz w:val="24"/>
        </w:rPr>
        <w:t>在经营活动中没有重大违法记录。</w:t>
      </w:r>
    </w:p>
    <w:p>
      <w:pPr>
        <w:pStyle w:val="36"/>
        <w:tabs>
          <w:tab w:val="left" w:pos="360"/>
        </w:tabs>
        <w:spacing w:line="360" w:lineRule="auto"/>
        <w:ind w:firstLine="480"/>
        <w:rPr>
          <w:sz w:val="24"/>
          <w:lang w:eastAsia="zh-CN"/>
        </w:rPr>
      </w:pPr>
      <w:r>
        <w:rPr>
          <w:rFonts w:hint="eastAsia"/>
          <w:sz w:val="24"/>
          <w:lang w:eastAsia="zh-CN"/>
        </w:rPr>
        <w:t>我单位具备良好的商业信誉和健全的财务会计制度，依法缴纳税收和社会保障资金。</w:t>
      </w:r>
    </w:p>
    <w:p>
      <w:pPr>
        <w:pStyle w:val="36"/>
        <w:tabs>
          <w:tab w:val="left" w:pos="360"/>
        </w:tabs>
        <w:spacing w:line="360" w:lineRule="auto"/>
        <w:ind w:firstLine="480"/>
        <w:rPr>
          <w:sz w:val="24"/>
          <w:lang w:eastAsia="zh-CN"/>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autoSpaceDE w:val="0"/>
        <w:autoSpaceDN w:val="0"/>
        <w:spacing w:line="500" w:lineRule="exact"/>
        <w:ind w:left="3840"/>
        <w:jc w:val="left"/>
        <w:rPr>
          <w:sz w:val="24"/>
          <w:szCs w:val="24"/>
        </w:rPr>
      </w:pPr>
    </w:p>
    <w:p>
      <w:pPr>
        <w:pStyle w:val="36"/>
        <w:tabs>
          <w:tab w:val="left" w:pos="360"/>
        </w:tabs>
        <w:spacing w:line="360" w:lineRule="auto"/>
        <w:ind w:firstLine="0" w:firstLineChars="0"/>
        <w:rPr>
          <w:sz w:val="24"/>
          <w:u w:val="single"/>
          <w:lang w:eastAsia="zh-CN"/>
        </w:rPr>
      </w:pPr>
      <w:r>
        <w:rPr>
          <w:rFonts w:hint="eastAsia"/>
          <w:sz w:val="24"/>
          <w:u w:val="single"/>
          <w:lang w:eastAsia="zh-CN"/>
        </w:rPr>
        <w:t xml:space="preserve">                                                                     </w:t>
      </w:r>
    </w:p>
    <w:p>
      <w:pPr>
        <w:pStyle w:val="36"/>
        <w:tabs>
          <w:tab w:val="left" w:pos="360"/>
        </w:tabs>
        <w:spacing w:line="360" w:lineRule="auto"/>
        <w:ind w:firstLine="480"/>
        <w:rPr>
          <w:sz w:val="24"/>
          <w:lang w:eastAsia="zh-CN"/>
        </w:rPr>
      </w:pPr>
    </w:p>
    <w:p>
      <w:pPr>
        <w:pStyle w:val="36"/>
        <w:spacing w:line="360" w:lineRule="auto"/>
        <w:ind w:firstLine="0" w:firstLineChars="0"/>
        <w:jc w:val="center"/>
        <w:rPr>
          <w:b/>
          <w:sz w:val="24"/>
          <w:lang w:eastAsia="zh-CN"/>
        </w:rPr>
      </w:pPr>
    </w:p>
    <w:p>
      <w:pPr>
        <w:pStyle w:val="36"/>
        <w:spacing w:line="360" w:lineRule="auto"/>
        <w:ind w:firstLine="0" w:firstLineChars="0"/>
        <w:jc w:val="center"/>
        <w:rPr>
          <w:b/>
          <w:sz w:val="24"/>
          <w:lang w:eastAsia="zh-CN"/>
        </w:rPr>
      </w:pPr>
    </w:p>
    <w:p>
      <w:pPr>
        <w:pStyle w:val="36"/>
        <w:spacing w:line="360" w:lineRule="auto"/>
        <w:ind w:firstLine="0" w:firstLineChars="0"/>
        <w:jc w:val="center"/>
        <w:rPr>
          <w:b/>
          <w:sz w:val="24"/>
          <w:lang w:eastAsia="zh-CN"/>
        </w:rPr>
      </w:pPr>
      <w:r>
        <w:rPr>
          <w:rFonts w:hint="eastAsia"/>
          <w:b/>
          <w:sz w:val="24"/>
          <w:lang w:eastAsia="zh-CN"/>
        </w:rPr>
        <w:t>证明材料</w:t>
      </w:r>
    </w:p>
    <w:p>
      <w:pPr>
        <w:pStyle w:val="36"/>
        <w:tabs>
          <w:tab w:val="left" w:pos="360"/>
        </w:tabs>
        <w:spacing w:line="360" w:lineRule="auto"/>
        <w:ind w:firstLine="480"/>
        <w:rPr>
          <w:sz w:val="24"/>
          <w:lang w:eastAsia="zh-CN"/>
        </w:rPr>
      </w:pPr>
    </w:p>
    <w:p>
      <w:pPr>
        <w:pStyle w:val="36"/>
        <w:tabs>
          <w:tab w:val="left" w:pos="360"/>
        </w:tabs>
        <w:spacing w:line="360" w:lineRule="auto"/>
        <w:ind w:firstLine="480"/>
        <w:rPr>
          <w:sz w:val="24"/>
          <w:lang w:eastAsia="zh-CN"/>
        </w:rPr>
      </w:pPr>
      <w:r>
        <w:rPr>
          <w:sz w:val="24"/>
          <w:lang w:eastAsia="zh-CN"/>
        </w:rPr>
        <w:t>我单位具备</w:t>
      </w:r>
      <w:r>
        <w:rPr>
          <w:rFonts w:hint="eastAsia"/>
          <w:sz w:val="24"/>
          <w:lang w:eastAsia="zh-CN"/>
        </w:rPr>
        <w:t>履行本项目合同所必需的设备和专业技术能力。</w:t>
      </w:r>
    </w:p>
    <w:p>
      <w:pPr>
        <w:pStyle w:val="36"/>
        <w:tabs>
          <w:tab w:val="left" w:pos="360"/>
        </w:tabs>
        <w:spacing w:line="360" w:lineRule="auto"/>
        <w:ind w:firstLine="480"/>
        <w:rPr>
          <w:sz w:val="24"/>
          <w:lang w:eastAsia="zh-CN"/>
        </w:rPr>
      </w:pPr>
    </w:p>
    <w:p>
      <w:pPr>
        <w:pStyle w:val="36"/>
        <w:tabs>
          <w:tab w:val="left" w:pos="360"/>
        </w:tabs>
        <w:spacing w:line="360" w:lineRule="auto"/>
        <w:ind w:firstLine="480"/>
        <w:rPr>
          <w:sz w:val="24"/>
          <w:lang w:eastAsia="zh-CN"/>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jc w:val="left"/>
        <w:rPr>
          <w:b/>
          <w:bCs/>
          <w:sz w:val="24"/>
        </w:rPr>
      </w:pPr>
    </w:p>
    <w:p>
      <w:pPr>
        <w:jc w:val="left"/>
        <w:rPr>
          <w:b/>
          <w:bCs/>
          <w:sz w:val="24"/>
        </w:rPr>
      </w:pPr>
    </w:p>
    <w:p>
      <w:pPr>
        <w:jc w:val="left"/>
        <w:rPr>
          <w:b/>
          <w:sz w:val="24"/>
        </w:rPr>
      </w:pPr>
    </w:p>
    <w:p>
      <w:pPr>
        <w:spacing w:line="460" w:lineRule="exact"/>
        <w:ind w:left="192"/>
        <w:jc w:val="left"/>
        <w:rPr>
          <w:b/>
          <w:sz w:val="24"/>
        </w:rPr>
      </w:pPr>
    </w:p>
    <w:p>
      <w:pPr>
        <w:widowControl/>
        <w:jc w:val="left"/>
        <w:rPr>
          <w:b/>
          <w:sz w:val="24"/>
        </w:rPr>
      </w:pPr>
      <w:r>
        <w:rPr>
          <w:b/>
          <w:sz w:val="24"/>
        </w:rPr>
        <w:br w:type="page"/>
      </w:r>
    </w:p>
    <w:p>
      <w:pPr>
        <w:spacing w:line="460" w:lineRule="exact"/>
        <w:jc w:val="left"/>
        <w:rPr>
          <w:b/>
          <w:sz w:val="24"/>
        </w:rPr>
      </w:pPr>
      <w:r>
        <w:rPr>
          <w:rFonts w:hint="eastAsia"/>
          <w:b/>
          <w:sz w:val="24"/>
        </w:rPr>
        <w:t>附件10：</w:t>
      </w:r>
      <w:r>
        <w:rPr>
          <w:b/>
          <w:sz w:val="24"/>
        </w:rPr>
        <w:t>投标人认为需要提交的其他资料</w:t>
      </w:r>
    </w:p>
    <w:p>
      <w:pPr>
        <w:spacing w:line="460" w:lineRule="exact"/>
        <w:ind w:left="192"/>
        <w:rPr>
          <w:b/>
          <w:sz w:val="24"/>
        </w:rPr>
      </w:pPr>
    </w:p>
    <w:p>
      <w:pPr>
        <w:autoSpaceDE w:val="0"/>
        <w:autoSpaceDN w:val="0"/>
        <w:adjustRightInd w:val="0"/>
        <w:jc w:val="center"/>
        <w:rPr>
          <w:sz w:val="24"/>
        </w:rPr>
      </w:pPr>
      <w:r>
        <w:rPr>
          <w:sz w:val="24"/>
        </w:rPr>
        <w:br w:type="page"/>
      </w:r>
    </w:p>
    <w:p>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pPr>
        <w:autoSpaceDE w:val="0"/>
        <w:autoSpaceDN w:val="0"/>
        <w:adjustRightInd w:val="0"/>
        <w:spacing w:line="520" w:lineRule="exact"/>
        <w:rPr>
          <w:b/>
          <w:kern w:val="0"/>
          <w:sz w:val="24"/>
        </w:rPr>
      </w:pPr>
    </w:p>
    <w:p>
      <w:pPr>
        <w:autoSpaceDE w:val="0"/>
        <w:autoSpaceDN w:val="0"/>
        <w:adjustRightInd w:val="0"/>
        <w:spacing w:line="520" w:lineRule="exact"/>
        <w:jc w:val="center"/>
        <w:rPr>
          <w:b/>
          <w:kern w:val="0"/>
          <w:sz w:val="24"/>
        </w:rPr>
      </w:pPr>
      <w:r>
        <w:rPr>
          <w:b/>
          <w:kern w:val="0"/>
          <w:sz w:val="24"/>
        </w:rPr>
        <w:t>第二阶段</w:t>
      </w:r>
      <w:r>
        <w:rPr>
          <w:rFonts w:hint="eastAsia"/>
          <w:b/>
          <w:kern w:val="0"/>
          <w:sz w:val="24"/>
        </w:rPr>
        <w:t>响应</w:t>
      </w:r>
      <w:r>
        <w:rPr>
          <w:b/>
          <w:kern w:val="0"/>
          <w:sz w:val="24"/>
        </w:rPr>
        <w:t>文件</w:t>
      </w:r>
    </w:p>
    <w:p>
      <w:pPr>
        <w:autoSpaceDE w:val="0"/>
        <w:autoSpaceDN w:val="0"/>
        <w:adjustRightInd w:val="0"/>
        <w:spacing w:line="520" w:lineRule="exact"/>
        <w:rPr>
          <w:b/>
          <w:kern w:val="0"/>
          <w:sz w:val="24"/>
        </w:rPr>
      </w:pPr>
    </w:p>
    <w:p>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编 号：</w:t>
      </w:r>
    </w:p>
    <w:p>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名 称：</w:t>
      </w:r>
    </w:p>
    <w:p>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所 投 包 号：</w:t>
      </w:r>
    </w:p>
    <w:p>
      <w:pPr>
        <w:spacing w:before="93" w:beforeLines="30" w:after="218" w:afterLines="70" w:line="540" w:lineRule="exact"/>
        <w:ind w:left="630" w:leftChars="300"/>
        <w:rPr>
          <w:rFonts w:eastAsia="方正楷体简体"/>
          <w:b/>
          <w:sz w:val="34"/>
          <w:szCs w:val="34"/>
        </w:rPr>
      </w:pPr>
      <w:r>
        <w:rPr>
          <w:rFonts w:eastAsia="方正楷体简体"/>
          <w:b/>
          <w:sz w:val="34"/>
          <w:szCs w:val="34"/>
        </w:rPr>
        <w:t>供应商名称：</w:t>
      </w:r>
    </w:p>
    <w:p>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法定代表人姓名：</w:t>
      </w:r>
    </w:p>
    <w:p>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磋商代表人姓名：</w:t>
      </w:r>
    </w:p>
    <w:p>
      <w:pPr>
        <w:spacing w:before="93" w:beforeLines="30" w:after="218" w:afterLines="70" w:line="540" w:lineRule="exact"/>
        <w:ind w:left="630" w:leftChars="300"/>
        <w:rPr>
          <w:rFonts w:eastAsia="方正楷体简体"/>
          <w:b/>
          <w:sz w:val="34"/>
          <w:szCs w:val="34"/>
        </w:rPr>
      </w:pPr>
    </w:p>
    <w:p>
      <w:pPr>
        <w:spacing w:before="93" w:beforeLines="30" w:after="218" w:afterLines="70" w:line="540" w:lineRule="exact"/>
        <w:ind w:left="630" w:leftChars="300"/>
        <w:rPr>
          <w:rFonts w:eastAsia="方正楷体简体"/>
          <w:b/>
          <w:sz w:val="34"/>
          <w:szCs w:val="34"/>
        </w:rPr>
      </w:pPr>
    </w:p>
    <w:p>
      <w:pPr>
        <w:spacing w:before="93" w:beforeLines="30" w:after="218" w:afterLines="70" w:line="540" w:lineRule="exact"/>
        <w:ind w:left="630" w:leftChars="300"/>
        <w:rPr>
          <w:rFonts w:eastAsia="方正楷体简体"/>
          <w:b/>
          <w:sz w:val="34"/>
          <w:szCs w:val="34"/>
        </w:rPr>
      </w:pPr>
    </w:p>
    <w:p>
      <w:pPr>
        <w:spacing w:before="93" w:beforeLines="30" w:after="218" w:afterLines="70" w:line="540" w:lineRule="exact"/>
        <w:ind w:left="630" w:leftChars="300"/>
        <w:rPr>
          <w:rFonts w:eastAsia="方正楷体简体"/>
          <w:b/>
          <w:sz w:val="34"/>
          <w:szCs w:val="34"/>
        </w:rPr>
      </w:pPr>
    </w:p>
    <w:p>
      <w:pPr>
        <w:spacing w:before="93" w:beforeLines="30" w:after="218" w:afterLines="70" w:line="540" w:lineRule="exact"/>
        <w:ind w:left="630" w:leftChars="300"/>
        <w:rPr>
          <w:rFonts w:eastAsia="方正楷体简体"/>
          <w:b/>
          <w:sz w:val="34"/>
          <w:szCs w:val="34"/>
        </w:rPr>
      </w:pPr>
      <w:r>
        <w:rPr>
          <w:rFonts w:eastAsia="方正楷体简体"/>
          <w:b/>
          <w:sz w:val="34"/>
          <w:szCs w:val="34"/>
        </w:rPr>
        <w:t>递交日期：</w:t>
      </w:r>
    </w:p>
    <w:p>
      <w:pPr>
        <w:tabs>
          <w:tab w:val="left" w:pos="360"/>
        </w:tabs>
        <w:spacing w:line="560" w:lineRule="exact"/>
        <w:jc w:val="center"/>
        <w:rPr>
          <w:b/>
          <w:sz w:val="24"/>
        </w:rPr>
      </w:pPr>
      <w:r>
        <w:rPr>
          <w:sz w:val="24"/>
        </w:rPr>
        <w:br w:type="page"/>
      </w:r>
      <w:r>
        <w:rPr>
          <w:b/>
          <w:sz w:val="24"/>
        </w:rPr>
        <w:t>报价书</w:t>
      </w:r>
    </w:p>
    <w:p>
      <w:pPr>
        <w:tabs>
          <w:tab w:val="left" w:pos="360"/>
        </w:tabs>
        <w:spacing w:line="560" w:lineRule="exact"/>
        <w:jc w:val="center"/>
        <w:rPr>
          <w:b/>
          <w:sz w:val="24"/>
        </w:rPr>
      </w:pPr>
    </w:p>
    <w:p>
      <w:pPr>
        <w:spacing w:line="460" w:lineRule="exact"/>
        <w:rPr>
          <w:sz w:val="24"/>
        </w:rPr>
      </w:pPr>
      <w:r>
        <w:rPr>
          <w:sz w:val="24"/>
        </w:rPr>
        <w:t>致：天津市政府采购中心</w:t>
      </w:r>
    </w:p>
    <w:p>
      <w:pPr>
        <w:tabs>
          <w:tab w:val="left" w:pos="540"/>
          <w:tab w:val="left" w:pos="720"/>
        </w:tabs>
        <w:spacing w:line="460" w:lineRule="exact"/>
        <w:ind w:firstLine="480" w:firstLineChars="20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职务）经正式授权并代表投标人</w:t>
      </w:r>
      <w:r>
        <w:rPr>
          <w:sz w:val="24"/>
          <w:u w:val="single"/>
        </w:rPr>
        <w:t xml:space="preserve">                  </w:t>
      </w:r>
      <w:r>
        <w:rPr>
          <w:sz w:val="24"/>
        </w:rPr>
        <w:t>（投标人名称、地址）提交</w:t>
      </w:r>
      <w:r>
        <w:rPr>
          <w:rFonts w:hint="eastAsia"/>
          <w:sz w:val="24"/>
        </w:rPr>
        <w:t>网上应答及上传加盖电子签章的响应文件</w:t>
      </w:r>
      <w:r>
        <w:rPr>
          <w:sz w:val="24"/>
        </w:rPr>
        <w:t>。</w:t>
      </w:r>
    </w:p>
    <w:p>
      <w:pPr>
        <w:spacing w:line="460" w:lineRule="exact"/>
        <w:rPr>
          <w:sz w:val="24"/>
        </w:rPr>
      </w:pPr>
      <w:r>
        <w:rPr>
          <w:sz w:val="24"/>
        </w:rPr>
        <w:t>据此函，签字代表宣布同意如下：</w:t>
      </w:r>
    </w:p>
    <w:p>
      <w:pPr>
        <w:spacing w:line="460" w:lineRule="exact"/>
        <w:ind w:left="480"/>
        <w:jc w:val="left"/>
        <w:rPr>
          <w:sz w:val="24"/>
        </w:rPr>
      </w:pPr>
      <w:r>
        <w:rPr>
          <w:sz w:val="24"/>
        </w:rPr>
        <w:t>1. 所附</w:t>
      </w:r>
      <w:r>
        <w:rPr>
          <w:rFonts w:hint="eastAsia"/>
          <w:sz w:val="24"/>
        </w:rPr>
        <w:t>磋商</w:t>
      </w:r>
      <w:r>
        <w:rPr>
          <w:sz w:val="24"/>
        </w:rPr>
        <w:t>报价表中规定的应提供</w:t>
      </w:r>
      <w:r>
        <w:rPr>
          <w:rFonts w:hint="eastAsia"/>
          <w:sz w:val="24"/>
        </w:rPr>
        <w:t>的</w:t>
      </w:r>
      <w:r>
        <w:rPr>
          <w:sz w:val="24"/>
        </w:rPr>
        <w:t>服务总价为</w:t>
      </w:r>
    </w:p>
    <w:p>
      <w:pPr>
        <w:spacing w:line="460" w:lineRule="exact"/>
        <w:ind w:left="480"/>
        <w:jc w:val="left"/>
        <w:rPr>
          <w:sz w:val="24"/>
        </w:rPr>
      </w:pPr>
      <w:r>
        <w:rPr>
          <w:sz w:val="24"/>
        </w:rPr>
        <w:t>第</w:t>
      </w:r>
      <w:r>
        <w:rPr>
          <w:rFonts w:hint="eastAsia"/>
          <w:sz w:val="24"/>
        </w:rPr>
        <w:t xml:space="preserve">  </w:t>
      </w:r>
      <w:r>
        <w:rPr>
          <w:sz w:val="24"/>
        </w:rPr>
        <w:t>包：</w:t>
      </w:r>
    </w:p>
    <w:p>
      <w:pPr>
        <w:spacing w:line="460" w:lineRule="exact"/>
        <w:ind w:left="480"/>
        <w:jc w:val="left"/>
        <w:rPr>
          <w:sz w:val="24"/>
        </w:rPr>
      </w:pPr>
      <w:r>
        <w:rPr>
          <w:sz w:val="24"/>
        </w:rPr>
        <w:t xml:space="preserve">  报价</w:t>
      </w:r>
      <w:r>
        <w:rPr>
          <w:sz w:val="24"/>
          <w:u w:val="single"/>
        </w:rPr>
        <w:t xml:space="preserve">         </w:t>
      </w:r>
      <w:r>
        <w:rPr>
          <w:sz w:val="24"/>
        </w:rPr>
        <w:t>元（注明币种）</w:t>
      </w:r>
    </w:p>
    <w:p>
      <w:pPr>
        <w:spacing w:line="460" w:lineRule="exact"/>
        <w:ind w:left="472" w:firstLine="237"/>
        <w:jc w:val="left"/>
        <w:rPr>
          <w:sz w:val="24"/>
        </w:rPr>
      </w:pPr>
      <w:r>
        <w:rPr>
          <w:sz w:val="24"/>
        </w:rPr>
        <w:t>大写</w:t>
      </w:r>
      <w:r>
        <w:rPr>
          <w:sz w:val="24"/>
          <w:u w:val="single"/>
        </w:rPr>
        <w:t xml:space="preserve">                    </w:t>
      </w:r>
      <w:r>
        <w:rPr>
          <w:sz w:val="24"/>
        </w:rPr>
        <w:t>（文字表述）。</w:t>
      </w:r>
    </w:p>
    <w:p>
      <w:pPr>
        <w:spacing w:line="460" w:lineRule="exact"/>
        <w:ind w:firstLine="471"/>
        <w:rPr>
          <w:sz w:val="24"/>
        </w:rPr>
      </w:pPr>
      <w:r>
        <w:rPr>
          <w:sz w:val="24"/>
        </w:rPr>
        <w:t>2. 投标人已经对全部价格进行了认真核对，保证本报价真实、准确无误，并承担本价格所对应本项目的一切责任和义务。</w:t>
      </w:r>
    </w:p>
    <w:p>
      <w:pPr>
        <w:spacing w:line="460" w:lineRule="exact"/>
        <w:ind w:firstLine="471"/>
        <w:rPr>
          <w:sz w:val="24"/>
        </w:rPr>
      </w:pPr>
      <w:r>
        <w:rPr>
          <w:sz w:val="24"/>
        </w:rPr>
        <w:t xml:space="preserve">3. </w:t>
      </w:r>
      <w:r>
        <w:rPr>
          <w:rFonts w:hint="eastAsia"/>
          <w:sz w:val="24"/>
        </w:rPr>
        <w:t>第一、二</w:t>
      </w:r>
      <w:r>
        <w:rPr>
          <w:sz w:val="24"/>
        </w:rPr>
        <w:t>阶段响应文件一一对应、不可分割，共同构成我方对本项目的所有承诺。</w:t>
      </w:r>
    </w:p>
    <w:p>
      <w:pPr>
        <w:spacing w:line="460" w:lineRule="exact"/>
        <w:ind w:firstLine="471"/>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60" w:lineRule="exact"/>
        <w:ind w:firstLine="471"/>
        <w:rPr>
          <w:sz w:val="24"/>
        </w:rPr>
      </w:pPr>
    </w:p>
    <w:p>
      <w:pPr>
        <w:spacing w:line="460" w:lineRule="exact"/>
        <w:jc w:val="left"/>
        <w:rPr>
          <w:b/>
          <w:sz w:val="24"/>
        </w:rPr>
      </w:pPr>
      <w:r>
        <w:rPr>
          <w:b/>
          <w:sz w:val="24"/>
        </w:rPr>
        <w:br w:type="page"/>
      </w:r>
      <w:r>
        <w:rPr>
          <w:b/>
          <w:sz w:val="24"/>
        </w:rPr>
        <w:t>附件1</w:t>
      </w:r>
    </w:p>
    <w:p>
      <w:pPr>
        <w:tabs>
          <w:tab w:val="left" w:pos="3780"/>
          <w:tab w:val="left" w:pos="3960"/>
        </w:tabs>
        <w:spacing w:line="460" w:lineRule="exact"/>
        <w:jc w:val="center"/>
        <w:rPr>
          <w:b/>
          <w:sz w:val="24"/>
        </w:rPr>
      </w:pPr>
      <w:r>
        <w:rPr>
          <w:b/>
          <w:sz w:val="24"/>
        </w:rPr>
        <w:t>报价分项一览表</w:t>
      </w: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960" w:firstLineChars="2900"/>
        <w:rPr>
          <w:sz w:val="24"/>
        </w:rPr>
      </w:pPr>
      <w:r>
        <w:rPr>
          <w:sz w:val="24"/>
        </w:rPr>
        <w:t>单位：元</w:t>
      </w:r>
    </w:p>
    <w:tbl>
      <w:tblPr>
        <w:tblStyle w:val="16"/>
        <w:tblW w:w="46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394"/>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szCs w:val="21"/>
              </w:rPr>
            </w:pPr>
            <w:r>
              <w:rPr>
                <w:szCs w:val="21"/>
              </w:rPr>
              <w:t>序号</w:t>
            </w:r>
          </w:p>
        </w:tc>
        <w:tc>
          <w:tcPr>
            <w:tcW w:w="2120" w:type="pct"/>
            <w:vAlign w:val="center"/>
          </w:tcPr>
          <w:p>
            <w:pPr>
              <w:jc w:val="center"/>
              <w:rPr>
                <w:szCs w:val="21"/>
              </w:rPr>
            </w:pPr>
            <w:r>
              <w:rPr>
                <w:szCs w:val="21"/>
              </w:rPr>
              <w:t>价格分项组成</w:t>
            </w:r>
          </w:p>
        </w:tc>
        <w:tc>
          <w:tcPr>
            <w:tcW w:w="2218" w:type="pct"/>
            <w:vAlign w:val="center"/>
          </w:tcPr>
          <w:p>
            <w:pPr>
              <w:jc w:val="center"/>
              <w:rPr>
                <w:szCs w:val="21"/>
              </w:rPr>
            </w:pPr>
            <w:r>
              <w:rPr>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restart"/>
            <w:vAlign w:val="center"/>
          </w:tcPr>
          <w:p>
            <w:pPr>
              <w:jc w:val="center"/>
              <w:rPr>
                <w:szCs w:val="21"/>
              </w:rPr>
            </w:pPr>
            <w:r>
              <w:rPr>
                <w:szCs w:val="21"/>
              </w:rPr>
              <w:t>1</w:t>
            </w:r>
          </w:p>
        </w:tc>
        <w:tc>
          <w:tcPr>
            <w:tcW w:w="2120" w:type="pct"/>
            <w:vMerge w:val="restart"/>
            <w:vAlign w:val="center"/>
          </w:tcPr>
          <w:p>
            <w:pPr>
              <w:jc w:val="center"/>
              <w:rPr>
                <w:szCs w:val="21"/>
              </w:rPr>
            </w:pPr>
            <w:r>
              <w:rPr>
                <w:szCs w:val="21"/>
              </w:rPr>
              <w:t>人员费用</w:t>
            </w:r>
          </w:p>
        </w:tc>
        <w:tc>
          <w:tcPr>
            <w:tcW w:w="2218" w:type="pct"/>
            <w:vAlign w:val="center"/>
          </w:tcPr>
          <w:p>
            <w:pPr>
              <w:jc w:val="left"/>
              <w:rPr>
                <w:szCs w:val="21"/>
              </w:rPr>
            </w:pPr>
            <w:r>
              <w:rPr>
                <w:szCs w:val="21"/>
              </w:rPr>
              <w:t>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szCs w:val="21"/>
              </w:rPr>
              <w:t>福利</w:t>
            </w:r>
            <w:r>
              <w:rPr>
                <w:rFonts w:hint="eastAsia"/>
                <w:szCs w:val="21"/>
              </w:rPr>
              <w:t>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加班费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60" w:type="pct"/>
            <w:vAlign w:val="center"/>
          </w:tcPr>
          <w:p>
            <w:pPr>
              <w:jc w:val="center"/>
              <w:rPr>
                <w:szCs w:val="21"/>
              </w:rPr>
            </w:pPr>
            <w:r>
              <w:rPr>
                <w:szCs w:val="21"/>
              </w:rPr>
              <w:t>2</w:t>
            </w:r>
          </w:p>
        </w:tc>
        <w:tc>
          <w:tcPr>
            <w:tcW w:w="2120" w:type="pct"/>
            <w:vAlign w:val="center"/>
          </w:tcPr>
          <w:p>
            <w:pPr>
              <w:jc w:val="center"/>
              <w:rPr>
                <w:szCs w:val="21"/>
              </w:rPr>
            </w:pPr>
            <w:r>
              <w:rPr>
                <w:rFonts w:hint="eastAsia"/>
                <w:szCs w:val="21"/>
                <w:lang w:val="en-US" w:eastAsia="zh-CN"/>
              </w:rPr>
              <w:t>物业服务</w:t>
            </w:r>
            <w:r>
              <w:rPr>
                <w:szCs w:val="21"/>
              </w:rPr>
              <w:t>工具耗材费用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0" w:type="pct"/>
            <w:vAlign w:val="center"/>
          </w:tcPr>
          <w:p>
            <w:pPr>
              <w:jc w:val="center"/>
              <w:rPr>
                <w:rFonts w:hint="eastAsia" w:eastAsia="宋体"/>
                <w:szCs w:val="21"/>
                <w:lang w:eastAsia="zh-CN"/>
              </w:rPr>
            </w:pPr>
            <w:r>
              <w:rPr>
                <w:rFonts w:hint="eastAsia"/>
                <w:szCs w:val="21"/>
                <w:lang w:val="en-US" w:eastAsia="zh-CN"/>
              </w:rPr>
              <w:t>3</w:t>
            </w:r>
          </w:p>
        </w:tc>
        <w:tc>
          <w:tcPr>
            <w:tcW w:w="2120" w:type="pct"/>
            <w:vAlign w:val="center"/>
          </w:tcPr>
          <w:p>
            <w:pPr>
              <w:jc w:val="center"/>
              <w:rPr>
                <w:szCs w:val="21"/>
              </w:rPr>
            </w:pPr>
            <w:r>
              <w:rPr>
                <w:szCs w:val="21"/>
              </w:rPr>
              <w:t>绿化</w:t>
            </w:r>
            <w:r>
              <w:rPr>
                <w:rFonts w:hint="eastAsia"/>
                <w:szCs w:val="21"/>
                <w:lang w:val="en-US" w:eastAsia="zh-CN"/>
              </w:rPr>
              <w:t>药剂</w:t>
            </w:r>
            <w:r>
              <w:rPr>
                <w:szCs w:val="21"/>
              </w:rPr>
              <w:t>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hint="eastAsia" w:eastAsia="宋体"/>
                <w:szCs w:val="21"/>
                <w:lang w:eastAsia="zh-CN"/>
              </w:rPr>
            </w:pPr>
            <w:r>
              <w:rPr>
                <w:rFonts w:hint="eastAsia"/>
                <w:szCs w:val="21"/>
                <w:lang w:val="en-US" w:eastAsia="zh-CN"/>
              </w:rPr>
              <w:t>4</w:t>
            </w:r>
          </w:p>
        </w:tc>
        <w:tc>
          <w:tcPr>
            <w:tcW w:w="2120" w:type="pct"/>
            <w:vAlign w:val="center"/>
          </w:tcPr>
          <w:p>
            <w:pPr>
              <w:jc w:val="center"/>
              <w:rPr>
                <w:szCs w:val="21"/>
              </w:rPr>
            </w:pPr>
            <w:r>
              <w:rPr>
                <w:rFonts w:hint="eastAsia"/>
                <w:szCs w:val="21"/>
              </w:rPr>
              <w:t>服装费用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szCs w:val="21"/>
              </w:rPr>
            </w:pPr>
            <w:r>
              <w:rPr>
                <w:rFonts w:hint="eastAsia"/>
                <w:szCs w:val="21"/>
                <w:lang w:val="en-US" w:eastAsia="zh-CN"/>
              </w:rPr>
              <w:t>5</w:t>
            </w:r>
          </w:p>
        </w:tc>
        <w:tc>
          <w:tcPr>
            <w:tcW w:w="2120" w:type="pct"/>
            <w:vAlign w:val="center"/>
          </w:tcPr>
          <w:p>
            <w:pPr>
              <w:jc w:val="center"/>
              <w:rPr>
                <w:szCs w:val="21"/>
              </w:rPr>
            </w:pPr>
            <w:r>
              <w:rPr>
                <w:szCs w:val="21"/>
              </w:rPr>
              <w:t>办公费用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hint="eastAsia" w:eastAsia="宋体"/>
                <w:szCs w:val="21"/>
                <w:lang w:eastAsia="zh-CN"/>
              </w:rPr>
            </w:pPr>
            <w:r>
              <w:rPr>
                <w:rFonts w:hint="eastAsia"/>
                <w:szCs w:val="21"/>
                <w:lang w:val="en-US" w:eastAsia="zh-CN"/>
              </w:rPr>
              <w:t>6</w:t>
            </w:r>
          </w:p>
        </w:tc>
        <w:tc>
          <w:tcPr>
            <w:tcW w:w="2120" w:type="pct"/>
            <w:vAlign w:val="center"/>
          </w:tcPr>
          <w:p>
            <w:pPr>
              <w:jc w:val="center"/>
              <w:rPr>
                <w:szCs w:val="21"/>
              </w:rPr>
            </w:pPr>
            <w:r>
              <w:rPr>
                <w:szCs w:val="21"/>
              </w:rPr>
              <w:t>固定资产折旧</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hint="eastAsia" w:eastAsia="宋体"/>
                <w:szCs w:val="21"/>
                <w:lang w:eastAsia="zh-CN"/>
              </w:rPr>
            </w:pPr>
            <w:r>
              <w:rPr>
                <w:rFonts w:hint="eastAsia"/>
                <w:szCs w:val="21"/>
                <w:lang w:val="en-US" w:eastAsia="zh-CN"/>
              </w:rPr>
              <w:t>7</w:t>
            </w:r>
          </w:p>
        </w:tc>
        <w:tc>
          <w:tcPr>
            <w:tcW w:w="2120" w:type="pct"/>
            <w:vAlign w:val="center"/>
          </w:tcPr>
          <w:p>
            <w:pPr>
              <w:jc w:val="center"/>
              <w:rPr>
                <w:szCs w:val="21"/>
              </w:rPr>
            </w:pPr>
            <w:r>
              <w:rPr>
                <w:szCs w:val="21"/>
              </w:rPr>
              <w:t>利润</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szCs w:val="21"/>
              </w:rPr>
            </w:pPr>
            <w:r>
              <w:rPr>
                <w:rFonts w:hint="eastAsia"/>
                <w:szCs w:val="21"/>
                <w:lang w:val="en-US" w:eastAsia="zh-CN"/>
              </w:rPr>
              <w:t>8</w:t>
            </w:r>
          </w:p>
        </w:tc>
        <w:tc>
          <w:tcPr>
            <w:tcW w:w="2120" w:type="pct"/>
            <w:vAlign w:val="center"/>
          </w:tcPr>
          <w:p>
            <w:pPr>
              <w:jc w:val="center"/>
              <w:rPr>
                <w:szCs w:val="21"/>
              </w:rPr>
            </w:pPr>
            <w:r>
              <w:rPr>
                <w:szCs w:val="21"/>
              </w:rPr>
              <w:t>税金</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hint="eastAsia" w:eastAsia="宋体"/>
                <w:szCs w:val="21"/>
                <w:lang w:eastAsia="zh-CN"/>
              </w:rPr>
            </w:pPr>
            <w:r>
              <w:rPr>
                <w:rFonts w:hint="eastAsia"/>
                <w:szCs w:val="21"/>
                <w:lang w:val="en-US" w:eastAsia="zh-CN"/>
              </w:rPr>
              <w:t>9</w:t>
            </w:r>
          </w:p>
        </w:tc>
        <w:tc>
          <w:tcPr>
            <w:tcW w:w="2120" w:type="pct"/>
            <w:vAlign w:val="center"/>
          </w:tcPr>
          <w:p>
            <w:pPr>
              <w:jc w:val="center"/>
              <w:rPr>
                <w:szCs w:val="21"/>
              </w:rPr>
            </w:pPr>
            <w:r>
              <w:rPr>
                <w:szCs w:val="21"/>
              </w:rPr>
              <w:t>其他需要列明的费用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1" w:type="pct"/>
            <w:gridSpan w:val="2"/>
            <w:vAlign w:val="center"/>
          </w:tcPr>
          <w:p>
            <w:pPr>
              <w:jc w:val="center"/>
              <w:rPr>
                <w:szCs w:val="21"/>
              </w:rPr>
            </w:pPr>
            <w:r>
              <w:rPr>
                <w:szCs w:val="21"/>
              </w:rPr>
              <w:t>合计</w:t>
            </w:r>
          </w:p>
        </w:tc>
        <w:tc>
          <w:tcPr>
            <w:tcW w:w="2218" w:type="pct"/>
            <w:vAlign w:val="center"/>
          </w:tcPr>
          <w:p>
            <w:pPr>
              <w:jc w:val="left"/>
              <w:rPr>
                <w:szCs w:val="21"/>
              </w:rPr>
            </w:pPr>
          </w:p>
        </w:tc>
      </w:tr>
    </w:tbl>
    <w:p>
      <w:pPr>
        <w:spacing w:line="360" w:lineRule="auto"/>
        <w:rPr>
          <w:kern w:val="0"/>
          <w:sz w:val="24"/>
          <w:szCs w:val="24"/>
        </w:rPr>
      </w:pPr>
      <w:r>
        <w:rPr>
          <w:kern w:val="0"/>
          <w:sz w:val="24"/>
          <w:szCs w:val="24"/>
        </w:rPr>
        <w:t>注：1. 上述合计价格应为服务期的最终优惠价格。</w:t>
      </w:r>
    </w:p>
    <w:p>
      <w:pPr>
        <w:spacing w:line="360" w:lineRule="auto"/>
        <w:ind w:firstLine="480" w:firstLineChars="200"/>
        <w:rPr>
          <w:kern w:val="0"/>
          <w:sz w:val="24"/>
          <w:szCs w:val="24"/>
        </w:rPr>
      </w:pPr>
      <w:r>
        <w:rPr>
          <w:rFonts w:hint="eastAsia"/>
          <w:kern w:val="0"/>
          <w:sz w:val="24"/>
          <w:szCs w:val="24"/>
        </w:rPr>
        <w:t>2</w:t>
      </w:r>
      <w:r>
        <w:rPr>
          <w:kern w:val="0"/>
          <w:sz w:val="24"/>
          <w:szCs w:val="24"/>
        </w:rPr>
        <w:t xml:space="preserve">.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pPr>
        <w:spacing w:line="360" w:lineRule="auto"/>
        <w:ind w:firstLine="480" w:firstLineChars="200"/>
        <w:rPr>
          <w:kern w:val="0"/>
          <w:sz w:val="24"/>
          <w:szCs w:val="24"/>
        </w:rPr>
      </w:pPr>
      <w:r>
        <w:rPr>
          <w:rFonts w:hint="eastAsia"/>
          <w:kern w:val="0"/>
          <w:sz w:val="24"/>
          <w:szCs w:val="24"/>
        </w:rPr>
        <w:t>3</w:t>
      </w:r>
      <w:r>
        <w:rPr>
          <w:kern w:val="0"/>
          <w:sz w:val="24"/>
          <w:szCs w:val="24"/>
        </w:rPr>
        <w:t>. 上述表格中列明的条目，在本项目中如不涉及，请填写“不涉及”。</w:t>
      </w:r>
    </w:p>
    <w:p>
      <w:pPr>
        <w:spacing w:line="360" w:lineRule="auto"/>
        <w:ind w:firstLine="480" w:firstLineChars="200"/>
        <w:rPr>
          <w:kern w:val="0"/>
          <w:sz w:val="24"/>
          <w:szCs w:val="24"/>
        </w:rPr>
      </w:pPr>
      <w:r>
        <w:rPr>
          <w:rFonts w:hint="eastAsia"/>
          <w:sz w:val="24"/>
          <w:szCs w:val="24"/>
        </w:rPr>
        <w:t>4</w:t>
      </w:r>
      <w:r>
        <w:rPr>
          <w:sz w:val="24"/>
          <w:szCs w:val="24"/>
        </w:rPr>
        <w:t xml:space="preserve">. </w:t>
      </w:r>
      <w:r>
        <w:rPr>
          <w:kern w:val="0"/>
          <w:sz w:val="24"/>
          <w:szCs w:val="24"/>
        </w:rPr>
        <w:t>上述报价不得出现0报价</w:t>
      </w:r>
      <w:r>
        <w:rPr>
          <w:rFonts w:hint="eastAsia"/>
          <w:kern w:val="0"/>
          <w:sz w:val="24"/>
          <w:szCs w:val="24"/>
        </w:rPr>
        <w:t>。</w:t>
      </w:r>
    </w:p>
    <w:p>
      <w:pPr>
        <w:spacing w:line="360" w:lineRule="auto"/>
        <w:ind w:firstLine="480" w:firstLineChars="200"/>
        <w:rPr>
          <w:kern w:val="0"/>
          <w:sz w:val="24"/>
          <w:szCs w:val="24"/>
        </w:rPr>
      </w:pPr>
      <w:r>
        <w:rPr>
          <w:rFonts w:hint="eastAsia"/>
          <w:kern w:val="0"/>
          <w:sz w:val="24"/>
          <w:szCs w:val="24"/>
        </w:rPr>
        <w:t>5. 投标报价在不超采购预算的前提下，其合理性由磋商小组在评分中予以考虑。</w:t>
      </w: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b/>
          <w:sz w:val="24"/>
        </w:rPr>
      </w:pPr>
      <w:r>
        <w:rPr>
          <w:b/>
          <w:sz w:val="24"/>
        </w:rPr>
        <w:br w:type="page"/>
      </w:r>
    </w:p>
    <w:p>
      <w:pPr>
        <w:spacing w:line="460" w:lineRule="exact"/>
        <w:rPr>
          <w:b/>
          <w:sz w:val="24"/>
        </w:rPr>
      </w:pPr>
      <w:r>
        <w:rPr>
          <w:b/>
          <w:sz w:val="24"/>
        </w:rPr>
        <w:t>附件2</w:t>
      </w:r>
    </w:p>
    <w:p>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pPr>
        <w:spacing w:line="460" w:lineRule="exact"/>
        <w:ind w:firstLine="6960" w:firstLineChars="2900"/>
        <w:rPr>
          <w:sz w:val="24"/>
        </w:rPr>
      </w:pPr>
      <w:r>
        <w:rPr>
          <w:sz w:val="24"/>
        </w:rPr>
        <w:t>单位：元</w:t>
      </w:r>
    </w:p>
    <w:tbl>
      <w:tblPr>
        <w:tblStyle w:val="16"/>
        <w:tblW w:w="10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r>
              <w:rPr>
                <w:rFonts w:hint="eastAsia"/>
                <w:sz w:val="24"/>
                <w:szCs w:val="24"/>
              </w:rPr>
              <w:t>序号</w:t>
            </w:r>
          </w:p>
        </w:tc>
        <w:tc>
          <w:tcPr>
            <w:tcW w:w="1356" w:type="dxa"/>
            <w:vAlign w:val="center"/>
          </w:tcPr>
          <w:p>
            <w:pPr>
              <w:jc w:val="center"/>
              <w:rPr>
                <w:sz w:val="24"/>
                <w:szCs w:val="24"/>
              </w:rPr>
            </w:pPr>
            <w:r>
              <w:rPr>
                <w:sz w:val="24"/>
                <w:szCs w:val="24"/>
              </w:rPr>
              <w:t>具体岗位</w:t>
            </w:r>
          </w:p>
        </w:tc>
        <w:tc>
          <w:tcPr>
            <w:tcW w:w="1512" w:type="dxa"/>
            <w:vAlign w:val="center"/>
          </w:tcPr>
          <w:p>
            <w:pPr>
              <w:jc w:val="center"/>
              <w:rPr>
                <w:sz w:val="24"/>
                <w:szCs w:val="24"/>
              </w:rPr>
            </w:pPr>
            <w:r>
              <w:rPr>
                <w:sz w:val="24"/>
                <w:szCs w:val="24"/>
              </w:rPr>
              <w:t>人数（人）</w:t>
            </w:r>
          </w:p>
        </w:tc>
        <w:tc>
          <w:tcPr>
            <w:tcW w:w="1416" w:type="dxa"/>
            <w:vAlign w:val="center"/>
          </w:tcPr>
          <w:p>
            <w:pPr>
              <w:jc w:val="center"/>
              <w:rPr>
                <w:sz w:val="24"/>
                <w:szCs w:val="24"/>
              </w:rPr>
            </w:pPr>
            <w:r>
              <w:rPr>
                <w:sz w:val="24"/>
                <w:szCs w:val="24"/>
              </w:rPr>
              <w:t>月工资/人</w:t>
            </w:r>
          </w:p>
        </w:tc>
        <w:tc>
          <w:tcPr>
            <w:tcW w:w="1296" w:type="dxa"/>
            <w:vAlign w:val="center"/>
          </w:tcPr>
          <w:p>
            <w:pPr>
              <w:jc w:val="center"/>
              <w:rPr>
                <w:sz w:val="24"/>
                <w:szCs w:val="24"/>
              </w:rPr>
            </w:pPr>
            <w:r>
              <w:rPr>
                <w:sz w:val="24"/>
                <w:szCs w:val="24"/>
              </w:rPr>
              <w:t>月保险/人</w:t>
            </w:r>
          </w:p>
        </w:tc>
        <w:tc>
          <w:tcPr>
            <w:tcW w:w="1116" w:type="dxa"/>
            <w:vAlign w:val="center"/>
          </w:tcPr>
          <w:p>
            <w:pPr>
              <w:jc w:val="center"/>
              <w:rPr>
                <w:sz w:val="24"/>
                <w:szCs w:val="24"/>
              </w:rPr>
            </w:pPr>
            <w:r>
              <w:rPr>
                <w:rFonts w:hint="eastAsia"/>
                <w:sz w:val="24"/>
                <w:szCs w:val="24"/>
              </w:rPr>
              <w:t>月公积金/人</w:t>
            </w:r>
          </w:p>
        </w:tc>
        <w:tc>
          <w:tcPr>
            <w:tcW w:w="1116" w:type="dxa"/>
            <w:vAlign w:val="center"/>
          </w:tcPr>
          <w:p>
            <w:pPr>
              <w:jc w:val="center"/>
              <w:rPr>
                <w:sz w:val="24"/>
                <w:szCs w:val="24"/>
              </w:rPr>
            </w:pPr>
            <w:r>
              <w:rPr>
                <w:sz w:val="24"/>
                <w:szCs w:val="24"/>
              </w:rPr>
              <w:t>月小计</w:t>
            </w:r>
          </w:p>
        </w:tc>
        <w:tc>
          <w:tcPr>
            <w:tcW w:w="2103" w:type="dxa"/>
            <w:vAlign w:val="center"/>
          </w:tcPr>
          <w:p>
            <w:pPr>
              <w:jc w:val="center"/>
              <w:rPr>
                <w:sz w:val="24"/>
                <w:szCs w:val="24"/>
              </w:rPr>
            </w:pPr>
            <w:r>
              <w:rPr>
                <w:rFonts w:hint="eastAsia"/>
                <w:sz w:val="24"/>
                <w:szCs w:val="24"/>
              </w:rPr>
              <w:t>磋商</w:t>
            </w:r>
            <w:r>
              <w:rPr>
                <w:sz w:val="24"/>
                <w:szCs w:val="24"/>
              </w:rPr>
              <w:t>文件规定的服务期</w:t>
            </w:r>
            <w:r>
              <w:rPr>
                <w:rFonts w:hint="eastAsia"/>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210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210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210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210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pPr>
              <w:jc w:val="center"/>
              <w:rPr>
                <w:sz w:val="24"/>
                <w:szCs w:val="24"/>
              </w:rPr>
            </w:pPr>
            <w:r>
              <w:rPr>
                <w:rFonts w:hint="eastAsia"/>
                <w:sz w:val="24"/>
                <w:szCs w:val="24"/>
              </w:rPr>
              <w:t>人员费用合计</w:t>
            </w:r>
          </w:p>
        </w:tc>
        <w:tc>
          <w:tcPr>
            <w:tcW w:w="1116" w:type="dxa"/>
            <w:vAlign w:val="center"/>
          </w:tcPr>
          <w:p>
            <w:pPr>
              <w:jc w:val="center"/>
              <w:rPr>
                <w:sz w:val="24"/>
                <w:szCs w:val="24"/>
              </w:rPr>
            </w:pPr>
          </w:p>
        </w:tc>
        <w:tc>
          <w:tcPr>
            <w:tcW w:w="2103" w:type="dxa"/>
            <w:vAlign w:val="center"/>
          </w:tcPr>
          <w:p>
            <w:pPr>
              <w:jc w:val="center"/>
              <w:rPr>
                <w:sz w:val="24"/>
                <w:szCs w:val="24"/>
              </w:rPr>
            </w:pPr>
          </w:p>
        </w:tc>
      </w:tr>
    </w:tbl>
    <w:p>
      <w:pPr>
        <w:autoSpaceDE w:val="0"/>
        <w:autoSpaceDN w:val="0"/>
        <w:adjustRightInd w:val="0"/>
        <w:spacing w:line="360" w:lineRule="auto"/>
        <w:rPr>
          <w:b/>
          <w:color w:val="000000"/>
          <w:sz w:val="24"/>
        </w:rPr>
      </w:pPr>
      <w:r>
        <w:rPr>
          <w:b/>
          <w:color w:val="000000"/>
          <w:sz w:val="24"/>
        </w:rPr>
        <w:t xml:space="preserve">备注： </w:t>
      </w:r>
    </w:p>
    <w:p>
      <w:pPr>
        <w:autoSpaceDE w:val="0"/>
        <w:autoSpaceDN w:val="0"/>
        <w:adjustRightInd w:val="0"/>
        <w:spacing w:line="360" w:lineRule="auto"/>
        <w:ind w:firstLine="482"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pPr>
        <w:autoSpaceDE w:val="0"/>
        <w:autoSpaceDN w:val="0"/>
        <w:adjustRightInd w:val="0"/>
        <w:spacing w:line="360" w:lineRule="auto"/>
        <w:ind w:firstLine="482" w:firstLineChars="200"/>
        <w:rPr>
          <w:b/>
          <w:color w:val="000000"/>
          <w:sz w:val="24"/>
        </w:rPr>
      </w:pPr>
      <w:r>
        <w:rPr>
          <w:b/>
          <w:color w:val="000000"/>
          <w:sz w:val="24"/>
        </w:rPr>
        <w:t>2、投标人应按国家及天津市社会保险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w:t>
      </w:r>
      <w:r>
        <w:rPr>
          <w:rFonts w:hint="eastAsia"/>
          <w:b/>
          <w:color w:val="000000"/>
          <w:sz w:val="24"/>
        </w:rPr>
        <w:t>响应</w:t>
      </w:r>
      <w:r>
        <w:rPr>
          <w:b/>
          <w:color w:val="000000"/>
          <w:sz w:val="24"/>
        </w:rPr>
        <w:t>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pPr>
        <w:autoSpaceDE w:val="0"/>
        <w:autoSpaceDN w:val="0"/>
        <w:adjustRightInd w:val="0"/>
        <w:spacing w:line="360" w:lineRule="auto"/>
        <w:ind w:firstLine="482"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w:t>
      </w:r>
      <w:r>
        <w:rPr>
          <w:rFonts w:hint="eastAsia"/>
          <w:b/>
          <w:color w:val="000000"/>
          <w:sz w:val="24"/>
        </w:rPr>
        <w:t>磋商文件规定的服务期小计</w:t>
      </w:r>
      <w:r>
        <w:rPr>
          <w:b/>
          <w:color w:val="000000"/>
          <w:sz w:val="24"/>
        </w:rPr>
        <w:t>=月小计*磋商文件规定的服务</w:t>
      </w:r>
      <w:r>
        <w:rPr>
          <w:rFonts w:hint="eastAsia"/>
          <w:b/>
          <w:color w:val="000000"/>
          <w:sz w:val="24"/>
        </w:rPr>
        <w:t>月数</w:t>
      </w:r>
    </w:p>
    <w:p>
      <w:pPr>
        <w:autoSpaceDE w:val="0"/>
        <w:autoSpaceDN w:val="0"/>
        <w:adjustRightInd w:val="0"/>
        <w:spacing w:line="360" w:lineRule="auto"/>
        <w:rPr>
          <w:b/>
          <w:color w:val="000000"/>
          <w:sz w:val="24"/>
        </w:rPr>
      </w:pPr>
    </w:p>
    <w:p>
      <w:pPr>
        <w:autoSpaceDE w:val="0"/>
        <w:autoSpaceDN w:val="0"/>
        <w:adjustRightInd w:val="0"/>
        <w:spacing w:line="360" w:lineRule="auto"/>
        <w:rPr>
          <w:b/>
          <w:color w:val="000000"/>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p>
    <w:p>
      <w:pPr>
        <w:wordWrap w:val="0"/>
        <w:autoSpaceDE w:val="0"/>
        <w:autoSpaceDN w:val="0"/>
        <w:adjustRightInd w:val="0"/>
        <w:spacing w:line="360" w:lineRule="auto"/>
        <w:jc w:val="right"/>
        <w:rPr>
          <w:b/>
          <w:color w:val="000000"/>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rFonts w:hint="eastAsia"/>
          <w:sz w:val="24"/>
        </w:rPr>
        <w:t xml:space="preserve">           </w:t>
      </w:r>
    </w:p>
    <w:p>
      <w:pPr>
        <w:spacing w:line="360" w:lineRule="auto"/>
        <w:ind w:firstLine="4080" w:firstLineChars="1700"/>
        <w:rPr>
          <w:sz w:val="24"/>
        </w:rPr>
      </w:pPr>
    </w:p>
    <w:p>
      <w:pPr>
        <w:spacing w:line="460" w:lineRule="exact"/>
        <w:jc w:val="left"/>
        <w:rPr>
          <w:sz w:val="24"/>
        </w:rPr>
      </w:pPr>
    </w:p>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行楷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eastAsia="zh-CN"/>
      </w:rPr>
    </w:pPr>
    <w:r>
      <w:fldChar w:fldCharType="begin"/>
    </w:r>
    <w:r>
      <w:instrText xml:space="preserve"> PAGE   \* MERGEFORMAT </w:instrText>
    </w:r>
    <w:r>
      <w:fldChar w:fldCharType="separate"/>
    </w:r>
    <w:r>
      <w:t>24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6D748"/>
    <w:multiLevelType w:val="singleLevel"/>
    <w:tmpl w:val="D2B6D748"/>
    <w:lvl w:ilvl="0" w:tentative="0">
      <w:start w:val="1"/>
      <w:numFmt w:val="decimal"/>
      <w:suff w:val="nothing"/>
      <w:lvlText w:val="%1、"/>
      <w:lvlJc w:val="left"/>
    </w:lvl>
  </w:abstractNum>
  <w:abstractNum w:abstractNumId="1">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WI1MzllMjAxNzY0MTAwNTA2MzU0YTJmNmNmMDAifQ=="/>
  </w:docVars>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4182"/>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90153"/>
    <w:rsid w:val="00290B0D"/>
    <w:rsid w:val="00293EE2"/>
    <w:rsid w:val="00294794"/>
    <w:rsid w:val="00296513"/>
    <w:rsid w:val="002A08F4"/>
    <w:rsid w:val="002A0C1A"/>
    <w:rsid w:val="002A1682"/>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A14"/>
    <w:rsid w:val="003B6FA3"/>
    <w:rsid w:val="003B759D"/>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F1A42"/>
    <w:rsid w:val="003F1DE7"/>
    <w:rsid w:val="003F2DB6"/>
    <w:rsid w:val="0040093C"/>
    <w:rsid w:val="00401AAC"/>
    <w:rsid w:val="00405BA0"/>
    <w:rsid w:val="004107A8"/>
    <w:rsid w:val="00411385"/>
    <w:rsid w:val="00411F6C"/>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2085"/>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7212"/>
    <w:rsid w:val="005F7BD9"/>
    <w:rsid w:val="00601118"/>
    <w:rsid w:val="0060185D"/>
    <w:rsid w:val="00601F2F"/>
    <w:rsid w:val="00602386"/>
    <w:rsid w:val="00603918"/>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EBD"/>
    <w:rsid w:val="006E3E83"/>
    <w:rsid w:val="006E62F5"/>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16D5"/>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30518"/>
    <w:rsid w:val="00A32B7D"/>
    <w:rsid w:val="00A337C7"/>
    <w:rsid w:val="00A34C58"/>
    <w:rsid w:val="00A365FB"/>
    <w:rsid w:val="00A37410"/>
    <w:rsid w:val="00A43545"/>
    <w:rsid w:val="00A44073"/>
    <w:rsid w:val="00A451E6"/>
    <w:rsid w:val="00A47797"/>
    <w:rsid w:val="00A52E21"/>
    <w:rsid w:val="00A53DDA"/>
    <w:rsid w:val="00A55784"/>
    <w:rsid w:val="00A56BD6"/>
    <w:rsid w:val="00A56E1E"/>
    <w:rsid w:val="00A620E0"/>
    <w:rsid w:val="00A62C23"/>
    <w:rsid w:val="00A62E03"/>
    <w:rsid w:val="00A645E5"/>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C29"/>
    <w:rsid w:val="00AF23F1"/>
    <w:rsid w:val="00AF24AA"/>
    <w:rsid w:val="00AF6B0F"/>
    <w:rsid w:val="00B00BD6"/>
    <w:rsid w:val="00B01940"/>
    <w:rsid w:val="00B03263"/>
    <w:rsid w:val="00B03E68"/>
    <w:rsid w:val="00B04140"/>
    <w:rsid w:val="00B0451D"/>
    <w:rsid w:val="00B06B34"/>
    <w:rsid w:val="00B10A98"/>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3AD"/>
    <w:rsid w:val="00D5658B"/>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7D45"/>
    <w:rsid w:val="00EF06D5"/>
    <w:rsid w:val="00EF1A7E"/>
    <w:rsid w:val="00EF2E78"/>
    <w:rsid w:val="00EF3871"/>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1848"/>
    <w:rsid w:val="00F52F78"/>
    <w:rsid w:val="00F5384E"/>
    <w:rsid w:val="00F538DE"/>
    <w:rsid w:val="00F559A8"/>
    <w:rsid w:val="00F55A47"/>
    <w:rsid w:val="00F5680E"/>
    <w:rsid w:val="00F65436"/>
    <w:rsid w:val="00F71F3E"/>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 w:val="09A34883"/>
    <w:rsid w:val="0D774691"/>
    <w:rsid w:val="20B65C39"/>
    <w:rsid w:val="5AE41DD0"/>
    <w:rsid w:val="7265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3"/>
    <w:autoRedefine/>
    <w:qFormat/>
    <w:uiPriority w:val="0"/>
    <w:pPr>
      <w:keepNext/>
      <w:keepLines/>
      <w:spacing w:before="260" w:after="260" w:line="415" w:lineRule="auto"/>
      <w:outlineLvl w:val="2"/>
    </w:pPr>
    <w:rPr>
      <w:b/>
      <w:bCs/>
      <w:kern w:val="0"/>
      <w:sz w:val="32"/>
      <w:szCs w:val="32"/>
      <w:lang w:val="zh-CN" w:eastAsia="zh-CN"/>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style>
  <w:style w:type="paragraph" w:styleId="4">
    <w:name w:val="annotation text"/>
    <w:basedOn w:val="1"/>
    <w:link w:val="71"/>
    <w:autoRedefine/>
    <w:semiHidden/>
    <w:unhideWhenUsed/>
    <w:qFormat/>
    <w:uiPriority w:val="99"/>
    <w:pPr>
      <w:jc w:val="left"/>
    </w:pPr>
  </w:style>
  <w:style w:type="paragraph" w:styleId="5">
    <w:name w:val="Body Text"/>
    <w:basedOn w:val="1"/>
    <w:link w:val="75"/>
    <w:autoRedefine/>
    <w:qFormat/>
    <w:uiPriority w:val="0"/>
    <w:pPr>
      <w:spacing w:after="120"/>
    </w:pPr>
  </w:style>
  <w:style w:type="paragraph" w:styleId="6">
    <w:name w:val="Body Text Indent 2"/>
    <w:basedOn w:val="1"/>
    <w:link w:val="31"/>
    <w:autoRedefine/>
    <w:qFormat/>
    <w:uiPriority w:val="0"/>
    <w:pPr>
      <w:tabs>
        <w:tab w:val="left" w:pos="360"/>
      </w:tabs>
      <w:spacing w:line="560" w:lineRule="atLeast"/>
      <w:ind w:left="-105" w:firstLine="465"/>
    </w:pPr>
    <w:rPr>
      <w:rFonts w:ascii="宋体"/>
      <w:sz w:val="28"/>
      <w:lang w:val="zh-CN" w:eastAsia="zh-CN"/>
    </w:rPr>
  </w:style>
  <w:style w:type="paragraph" w:styleId="7">
    <w:name w:val="Balloon Text"/>
    <w:basedOn w:val="1"/>
    <w:link w:val="26"/>
    <w:autoRedefine/>
    <w:qFormat/>
    <w:uiPriority w:val="99"/>
    <w:rPr>
      <w:sz w:val="18"/>
      <w:szCs w:val="18"/>
      <w:lang w:val="zh-CN" w:eastAsia="zh-CN"/>
    </w:rPr>
  </w:style>
  <w:style w:type="paragraph" w:styleId="8">
    <w:name w:val="footer"/>
    <w:basedOn w:val="1"/>
    <w:link w:val="25"/>
    <w:autoRedefine/>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24"/>
    <w:autoRedefine/>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autoRedefine/>
    <w:qFormat/>
    <w:uiPriority w:val="0"/>
    <w:pPr>
      <w:tabs>
        <w:tab w:val="right" w:leader="middleDot" w:pos="8302"/>
      </w:tabs>
      <w:spacing w:line="360" w:lineRule="auto"/>
    </w:pPr>
  </w:style>
  <w:style w:type="paragraph" w:styleId="11">
    <w:name w:val="Subtitle"/>
    <w:basedOn w:val="1"/>
    <w:next w:val="1"/>
    <w:link w:val="30"/>
    <w:autoRedefine/>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2">
    <w:name w:val="Body Text Indent 3"/>
    <w:basedOn w:val="1"/>
    <w:link w:val="32"/>
    <w:autoRedefine/>
    <w:qFormat/>
    <w:uiPriority w:val="0"/>
    <w:pPr>
      <w:tabs>
        <w:tab w:val="left" w:pos="360"/>
      </w:tabs>
      <w:spacing w:line="560" w:lineRule="exact"/>
      <w:ind w:firstLine="360"/>
    </w:pPr>
    <w:rPr>
      <w:rFonts w:ascii="宋体"/>
      <w:sz w:val="24"/>
      <w:lang w:val="zh-CN" w:eastAsia="zh-CN"/>
    </w:rPr>
  </w:style>
  <w:style w:type="paragraph" w:styleId="13">
    <w:name w:val="Body Text 2"/>
    <w:basedOn w:val="1"/>
    <w:link w:val="70"/>
    <w:autoRedefine/>
    <w:semiHidden/>
    <w:unhideWhenUsed/>
    <w:qFormat/>
    <w:uiPriority w:val="99"/>
    <w:pPr>
      <w:spacing w:after="120" w:line="480" w:lineRule="auto"/>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72"/>
    <w:autoRedefine/>
    <w:semiHidden/>
    <w:unhideWhenUsed/>
    <w:qFormat/>
    <w:uiPriority w:val="99"/>
    <w:rPr>
      <w:b/>
      <w:bCs/>
    </w:rPr>
  </w:style>
  <w:style w:type="table" w:styleId="17">
    <w:name w:val="Table Grid"/>
    <w:basedOn w:val="1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autoRedefine/>
    <w:qFormat/>
    <w:uiPriority w:val="0"/>
  </w:style>
  <w:style w:type="character" w:styleId="20">
    <w:name w:val="Emphasis"/>
    <w:autoRedefine/>
    <w:qFormat/>
    <w:uiPriority w:val="20"/>
    <w:rPr>
      <w:i/>
      <w:iCs/>
    </w:rPr>
  </w:style>
  <w:style w:type="character" w:styleId="21">
    <w:name w:val="Hyperlink"/>
    <w:autoRedefine/>
    <w:qFormat/>
    <w:uiPriority w:val="0"/>
    <w:rPr>
      <w:rFonts w:hint="default" w:ascii="ˎ̥" w:hAnsi="ˎ̥"/>
      <w:color w:val="3E3E3E"/>
      <w:sz w:val="24"/>
      <w:szCs w:val="24"/>
      <w:u w:val="none"/>
    </w:rPr>
  </w:style>
  <w:style w:type="character" w:styleId="22">
    <w:name w:val="annotation reference"/>
    <w:basedOn w:val="18"/>
    <w:autoRedefine/>
    <w:semiHidden/>
    <w:unhideWhenUsed/>
    <w:qFormat/>
    <w:uiPriority w:val="99"/>
    <w:rPr>
      <w:sz w:val="21"/>
      <w:szCs w:val="21"/>
    </w:rPr>
  </w:style>
  <w:style w:type="character" w:customStyle="1" w:styleId="23">
    <w:name w:val="标题 3 Char"/>
    <w:link w:val="2"/>
    <w:autoRedefine/>
    <w:qFormat/>
    <w:uiPriority w:val="0"/>
    <w:rPr>
      <w:rFonts w:ascii="Times New Roman" w:hAnsi="Times New Roman" w:eastAsia="宋体" w:cs="Times New Roman"/>
      <w:b/>
      <w:bCs/>
      <w:sz w:val="32"/>
      <w:szCs w:val="32"/>
    </w:rPr>
  </w:style>
  <w:style w:type="character" w:customStyle="1" w:styleId="24">
    <w:name w:val="页眉 Char"/>
    <w:link w:val="9"/>
    <w:autoRedefine/>
    <w:qFormat/>
    <w:uiPriority w:val="99"/>
    <w:rPr>
      <w:rFonts w:ascii="Times New Roman" w:hAnsi="Times New Roman" w:eastAsia="宋体" w:cs="Times New Roman"/>
      <w:sz w:val="18"/>
      <w:szCs w:val="18"/>
    </w:rPr>
  </w:style>
  <w:style w:type="character" w:customStyle="1" w:styleId="25">
    <w:name w:val="页脚 Char"/>
    <w:link w:val="8"/>
    <w:autoRedefine/>
    <w:qFormat/>
    <w:uiPriority w:val="99"/>
    <w:rPr>
      <w:rFonts w:ascii="Times New Roman" w:hAnsi="Times New Roman" w:eastAsia="宋体" w:cs="Times New Roman"/>
      <w:sz w:val="18"/>
      <w:szCs w:val="18"/>
    </w:rPr>
  </w:style>
  <w:style w:type="character" w:customStyle="1" w:styleId="26">
    <w:name w:val="批注框文本 Char"/>
    <w:link w:val="7"/>
    <w:autoRedefine/>
    <w:qFormat/>
    <w:uiPriority w:val="99"/>
    <w:rPr>
      <w:rFonts w:ascii="Times New Roman" w:hAnsi="Times New Roman"/>
      <w:kern w:val="2"/>
      <w:sz w:val="18"/>
      <w:szCs w:val="18"/>
    </w:rPr>
  </w:style>
  <w:style w:type="paragraph" w:customStyle="1" w:styleId="27">
    <w:name w:val="Char"/>
    <w:basedOn w:val="1"/>
    <w:autoRedefine/>
    <w:qFormat/>
    <w:uiPriority w:val="0"/>
  </w:style>
  <w:style w:type="paragraph" w:customStyle="1" w:styleId="28">
    <w:name w:val="Default"/>
    <w:link w:val="73"/>
    <w:autoRedefine/>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9">
    <w:name w:val="列出段落1"/>
    <w:basedOn w:val="1"/>
    <w:autoRedefine/>
    <w:qFormat/>
    <w:uiPriority w:val="0"/>
    <w:pPr>
      <w:ind w:firstLine="420" w:firstLineChars="200"/>
    </w:pPr>
    <w:rPr>
      <w:rFonts w:ascii="Calibri" w:hAnsi="Calibri" w:cs="黑体"/>
      <w:szCs w:val="22"/>
    </w:rPr>
  </w:style>
  <w:style w:type="character" w:customStyle="1" w:styleId="30">
    <w:name w:val="副标题 Char"/>
    <w:link w:val="11"/>
    <w:autoRedefine/>
    <w:qFormat/>
    <w:uiPriority w:val="11"/>
    <w:rPr>
      <w:rFonts w:ascii="Cambria" w:hAnsi="Cambria" w:cs="Times New Roman"/>
      <w:b/>
      <w:bCs/>
      <w:kern w:val="28"/>
      <w:sz w:val="32"/>
      <w:szCs w:val="32"/>
    </w:rPr>
  </w:style>
  <w:style w:type="character" w:customStyle="1" w:styleId="31">
    <w:name w:val="正文文本缩进 2 Char"/>
    <w:link w:val="6"/>
    <w:autoRedefine/>
    <w:qFormat/>
    <w:uiPriority w:val="0"/>
    <w:rPr>
      <w:rFonts w:ascii="宋体" w:hAnsi="Times New Roman"/>
      <w:kern w:val="2"/>
      <w:sz w:val="28"/>
    </w:rPr>
  </w:style>
  <w:style w:type="character" w:customStyle="1" w:styleId="32">
    <w:name w:val="正文文本缩进 3 Char"/>
    <w:link w:val="12"/>
    <w:autoRedefine/>
    <w:qFormat/>
    <w:uiPriority w:val="0"/>
    <w:rPr>
      <w:rFonts w:ascii="宋体" w:hAnsi="Times New Roman"/>
      <w:kern w:val="2"/>
      <w:sz w:val="24"/>
    </w:rPr>
  </w:style>
  <w:style w:type="paragraph" w:customStyle="1" w:styleId="33">
    <w:name w:val="Char1"/>
    <w:basedOn w:val="1"/>
    <w:autoRedefine/>
    <w:qFormat/>
    <w:uiPriority w:val="0"/>
    <w:pPr>
      <w:tabs>
        <w:tab w:val="left" w:pos="360"/>
      </w:tabs>
    </w:pPr>
    <w:rPr>
      <w:sz w:val="24"/>
      <w:szCs w:val="24"/>
    </w:rPr>
  </w:style>
  <w:style w:type="character" w:customStyle="1" w:styleId="34">
    <w:name w:val="control-label6"/>
    <w:autoRedefine/>
    <w:qFormat/>
    <w:uiPriority w:val="0"/>
    <w:rPr>
      <w:rFonts w:hint="eastAsia" w:ascii="微软雅黑" w:hAnsi="微软雅黑" w:eastAsia="微软雅黑"/>
    </w:rPr>
  </w:style>
  <w:style w:type="character" w:customStyle="1" w:styleId="35">
    <w:name w:val="apple-converted-space"/>
    <w:autoRedefine/>
    <w:qFormat/>
    <w:uiPriority w:val="0"/>
  </w:style>
  <w:style w:type="paragraph" w:styleId="36">
    <w:name w:val="List Paragraph"/>
    <w:basedOn w:val="1"/>
    <w:link w:val="37"/>
    <w:autoRedefine/>
    <w:qFormat/>
    <w:uiPriority w:val="34"/>
    <w:pPr>
      <w:ind w:firstLine="420" w:firstLineChars="200"/>
    </w:pPr>
    <w:rPr>
      <w:szCs w:val="24"/>
      <w:lang w:val="zh-CN" w:eastAsia="zh-CN"/>
    </w:rPr>
  </w:style>
  <w:style w:type="character" w:customStyle="1" w:styleId="37">
    <w:name w:val="列出段落 Char"/>
    <w:link w:val="36"/>
    <w:autoRedefine/>
    <w:qFormat/>
    <w:uiPriority w:val="34"/>
    <w:rPr>
      <w:rFonts w:ascii="Times New Roman" w:hAnsi="Times New Roman"/>
      <w:kern w:val="2"/>
      <w:sz w:val="21"/>
      <w:szCs w:val="24"/>
    </w:rPr>
  </w:style>
  <w:style w:type="paragraph" w:customStyle="1" w:styleId="38">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6"/>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
    <w:name w:val="font7"/>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1">
    <w:name w:val="font8"/>
    <w:basedOn w:val="1"/>
    <w:autoRedefine/>
    <w:qFormat/>
    <w:uiPriority w:val="0"/>
    <w:pPr>
      <w:widowControl/>
      <w:spacing w:before="100" w:beforeAutospacing="1" w:after="100" w:afterAutospacing="1"/>
      <w:jc w:val="left"/>
    </w:pPr>
    <w:rPr>
      <w:color w:val="000000"/>
      <w:kern w:val="0"/>
      <w:sz w:val="14"/>
      <w:szCs w:val="14"/>
    </w:rPr>
  </w:style>
  <w:style w:type="paragraph" w:customStyle="1" w:styleId="42">
    <w:name w:val="font9"/>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3">
    <w:name w:val="font10"/>
    <w:basedOn w:val="1"/>
    <w:autoRedefine/>
    <w:qFormat/>
    <w:uiPriority w:val="0"/>
    <w:pPr>
      <w:widowControl/>
      <w:spacing w:before="100" w:beforeAutospacing="1" w:after="100" w:afterAutospacing="1"/>
      <w:jc w:val="left"/>
    </w:pPr>
    <w:rPr>
      <w:color w:val="000000"/>
      <w:kern w:val="0"/>
      <w:sz w:val="14"/>
      <w:szCs w:val="14"/>
    </w:rPr>
  </w:style>
  <w:style w:type="paragraph" w:customStyle="1" w:styleId="44">
    <w:name w:val="font11"/>
    <w:basedOn w:val="1"/>
    <w:autoRedefine/>
    <w:qFormat/>
    <w:uiPriority w:val="0"/>
    <w:pPr>
      <w:widowControl/>
      <w:spacing w:before="100" w:beforeAutospacing="1" w:after="100" w:afterAutospacing="1"/>
      <w:jc w:val="left"/>
    </w:pPr>
    <w:rPr>
      <w:color w:val="000000"/>
      <w:kern w:val="0"/>
      <w:sz w:val="22"/>
      <w:szCs w:val="22"/>
    </w:rPr>
  </w:style>
  <w:style w:type="paragraph" w:customStyle="1" w:styleId="45">
    <w:name w:val="xl65"/>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4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0">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1">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2">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3">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4">
    <w:name w:val="xl74"/>
    <w:basedOn w:val="1"/>
    <w:autoRedefine/>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5">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7">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0">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2">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4">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5">
    <w:name w:val="xl8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6">
    <w:name w:val="xl8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a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8">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0">
    <w:name w:val="正文文本 2 Char"/>
    <w:basedOn w:val="18"/>
    <w:link w:val="13"/>
    <w:autoRedefine/>
    <w:semiHidden/>
    <w:qFormat/>
    <w:uiPriority w:val="99"/>
    <w:rPr>
      <w:rFonts w:ascii="Times New Roman" w:hAnsi="Times New Roman"/>
      <w:kern w:val="2"/>
      <w:sz w:val="21"/>
    </w:rPr>
  </w:style>
  <w:style w:type="character" w:customStyle="1" w:styleId="71">
    <w:name w:val="批注文字 Char"/>
    <w:basedOn w:val="18"/>
    <w:link w:val="4"/>
    <w:autoRedefine/>
    <w:semiHidden/>
    <w:qFormat/>
    <w:uiPriority w:val="99"/>
    <w:rPr>
      <w:rFonts w:ascii="Times New Roman" w:hAnsi="Times New Roman"/>
      <w:kern w:val="2"/>
      <w:sz w:val="21"/>
    </w:rPr>
  </w:style>
  <w:style w:type="character" w:customStyle="1" w:styleId="72">
    <w:name w:val="批注主题 Char"/>
    <w:basedOn w:val="71"/>
    <w:link w:val="15"/>
    <w:autoRedefine/>
    <w:semiHidden/>
    <w:qFormat/>
    <w:uiPriority w:val="99"/>
    <w:rPr>
      <w:rFonts w:ascii="Times New Roman" w:hAnsi="Times New Roman"/>
      <w:b/>
      <w:bCs/>
      <w:kern w:val="2"/>
      <w:sz w:val="21"/>
    </w:rPr>
  </w:style>
  <w:style w:type="character" w:customStyle="1" w:styleId="73">
    <w:name w:val="Default Char"/>
    <w:link w:val="28"/>
    <w:autoRedefine/>
    <w:qFormat/>
    <w:locked/>
    <w:uiPriority w:val="0"/>
    <w:rPr>
      <w:rFonts w:ascii="......." w:hAnsi="......." w:eastAsia="......." w:cs="......."/>
      <w:color w:val="000000"/>
      <w:sz w:val="24"/>
      <w:szCs w:val="24"/>
    </w:rPr>
  </w:style>
  <w:style w:type="character" w:customStyle="1" w:styleId="74">
    <w:name w:val="NormalCharacter"/>
    <w:autoRedefine/>
    <w:qFormat/>
    <w:uiPriority w:val="0"/>
  </w:style>
  <w:style w:type="character" w:customStyle="1" w:styleId="75">
    <w:name w:val="正文文本 Char"/>
    <w:basedOn w:val="18"/>
    <w:link w:val="5"/>
    <w:autoRedefine/>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941E5-77CB-41BD-9CD1-496A845CD7EF}">
  <ds:schemaRefs/>
</ds:datastoreItem>
</file>

<file path=docProps/app.xml><?xml version="1.0" encoding="utf-8"?>
<Properties xmlns="http://schemas.openxmlformats.org/officeDocument/2006/extended-properties" xmlns:vt="http://schemas.openxmlformats.org/officeDocument/2006/docPropsVTypes">
  <Template>Normal.dotm</Template>
  <Pages>82</Pages>
  <Words>4840</Words>
  <Characters>27594</Characters>
  <Lines>229</Lines>
  <Paragraphs>64</Paragraphs>
  <TotalTime>33</TotalTime>
  <ScaleCrop>false</ScaleCrop>
  <LinksUpToDate>false</LinksUpToDate>
  <CharactersWithSpaces>32370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2024-04-08T06:03:00Z</dcterms:created>
  <dc:creator>未定义</dc:creator>
  <cp:lastModifiedBy>尃翟</cp:lastModifiedBy>
  <cp:lastPrinted>2015-08-04T03:01:00Z</cp:lastPrinted>
  <dcterms:modified xsi:type="dcterms:W3CDTF">2024-04-19T06:52:59Z</dcterms:modified>
  <dc:title>2015年天津市政府债券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9CCE7F5DB8E548B2A641485A4A664795_13</vt:lpwstr>
  </property>
</Properties>
</file>